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B7BC" w14:textId="77777777" w:rsidR="00591A06" w:rsidRDefault="00591A06" w:rsidP="00591A0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Privredna banka Sarajevo d. d. Sarajevo</w:t>
      </w:r>
    </w:p>
    <w:p w14:paraId="56487D77" w14:textId="1BB7BC6D" w:rsidR="00591A06" w:rsidRDefault="00591A06" w:rsidP="00591A06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bookmarkStart w:id="0" w:name="naziv_filijale2"/>
      <w:permStart w:id="1873959183" w:edGrp="everyone"/>
      <w:r>
        <w:rPr>
          <w:rFonts w:ascii="Arial" w:hAnsi="Arial" w:cs="Arial"/>
          <w:b/>
          <w:sz w:val="18"/>
          <w:szCs w:val="18"/>
        </w:rPr>
        <w:t>Nazi</w:t>
      </w:r>
      <w:r w:rsidR="00582794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v_filijale2</w:t>
      </w:r>
      <w:bookmarkEnd w:id="0"/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ermEnd w:id="1873959183"/>
    <w:p w14:paraId="360213B9" w14:textId="77777777" w:rsidR="00591A06" w:rsidRPr="00D13B17" w:rsidRDefault="00591A06" w:rsidP="00591A06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Ul. </w:t>
      </w:r>
      <w:bookmarkStart w:id="1" w:name="adresa_filijale2"/>
      <w:permStart w:id="803102193" w:edGrp="everyone"/>
      <w:r>
        <w:rPr>
          <w:rFonts w:ascii="Arial" w:hAnsi="Arial" w:cs="Arial"/>
          <w:b/>
          <w:bCs/>
          <w:iCs/>
          <w:sz w:val="18"/>
          <w:szCs w:val="18"/>
        </w:rPr>
        <w:t>adresa_filijale2</w:t>
      </w:r>
      <w:bookmarkEnd w:id="1"/>
      <w:permEnd w:id="803102193"/>
    </w:p>
    <w:p w14:paraId="08BB83B7" w14:textId="77777777" w:rsidR="00591A06" w:rsidRPr="00D13B17" w:rsidRDefault="00591A06" w:rsidP="00591A06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permStart w:id="68228430" w:edGrp="everyone"/>
      <w:r w:rsidRPr="0013641B">
        <w:rPr>
          <w:rFonts w:ascii="Arial" w:hAnsi="Arial" w:cs="Arial"/>
          <w:b/>
          <w:bCs/>
          <w:iCs/>
          <w:sz w:val="18"/>
          <w:szCs w:val="18"/>
        </w:rPr>
        <w:t>PTT poslovnice</w:t>
      </w:r>
      <w:permEnd w:id="68228430"/>
      <w:r w:rsidRPr="00D13B17">
        <w:rPr>
          <w:rFonts w:ascii="Arial" w:hAnsi="Arial" w:cs="Arial"/>
          <w:b/>
          <w:bCs/>
          <w:iCs/>
          <w:sz w:val="18"/>
          <w:szCs w:val="18"/>
        </w:rPr>
        <w:t xml:space="preserve">, </w:t>
      </w:r>
      <w:bookmarkStart w:id="2" w:name="sjedište_filijale2"/>
      <w:bookmarkStart w:id="3" w:name="sjediste_filijale2"/>
      <w:permStart w:id="2003450639" w:edGrp="everyone"/>
      <w:r>
        <w:rPr>
          <w:rFonts w:ascii="Arial" w:hAnsi="Arial" w:cs="Arial"/>
          <w:b/>
          <w:bCs/>
          <w:iCs/>
          <w:sz w:val="18"/>
          <w:szCs w:val="18"/>
        </w:rPr>
        <w:t>sjediste_filijale2</w:t>
      </w:r>
      <w:bookmarkEnd w:id="2"/>
      <w:bookmarkEnd w:id="3"/>
      <w:permEnd w:id="2003450639"/>
    </w:p>
    <w:p w14:paraId="1CB8BF5A" w14:textId="77777777" w:rsidR="00591A06" w:rsidRPr="00D13B17" w:rsidRDefault="00591A06" w:rsidP="00591A0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6919830" w14:textId="77777777" w:rsidR="00591A06" w:rsidRPr="00686C45" w:rsidRDefault="00591A06" w:rsidP="00591A0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Ime i prezime k</w:t>
      </w:r>
      <w:r w:rsidRPr="00D13B17">
        <w:rPr>
          <w:rFonts w:ascii="Arial" w:hAnsi="Arial" w:cs="Arial"/>
          <w:b/>
          <w:sz w:val="18"/>
          <w:szCs w:val="18"/>
        </w:rPr>
        <w:t xml:space="preserve">lijenta: </w:t>
      </w:r>
      <w:bookmarkStart w:id="4" w:name="naziv2"/>
      <w:permStart w:id="1516658766" w:edGrp="everyone"/>
      <w:r>
        <w:rPr>
          <w:rFonts w:ascii="Arial" w:hAnsi="Arial" w:cs="Arial"/>
          <w:b/>
          <w:sz w:val="18"/>
          <w:szCs w:val="18"/>
        </w:rPr>
        <w:t>naziv2</w:t>
      </w:r>
      <w:bookmarkEnd w:id="4"/>
      <w:permEnd w:id="1516658766"/>
    </w:p>
    <w:p w14:paraId="4A8867FE" w14:textId="77777777" w:rsidR="00591A06" w:rsidRPr="00D13B17" w:rsidRDefault="00591A06" w:rsidP="00591A0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JMBG klijenta: </w:t>
      </w:r>
      <w:bookmarkStart w:id="5" w:name="JMBG2"/>
      <w:permStart w:id="28325757" w:edGrp="everyone"/>
      <w:r>
        <w:rPr>
          <w:rFonts w:ascii="Arial" w:hAnsi="Arial" w:cs="Arial"/>
          <w:b/>
          <w:sz w:val="18"/>
          <w:szCs w:val="18"/>
        </w:rPr>
        <w:t>JMBG2</w:t>
      </w:r>
      <w:bookmarkEnd w:id="5"/>
      <w:permEnd w:id="28325757"/>
    </w:p>
    <w:p w14:paraId="6E0A4D2B" w14:textId="77777777" w:rsidR="00591A06" w:rsidRDefault="00591A06" w:rsidP="00591A06">
      <w:pPr>
        <w:spacing w:after="0" w:line="240" w:lineRule="auto"/>
        <w:rPr>
          <w:b/>
        </w:rPr>
      </w:pPr>
    </w:p>
    <w:p w14:paraId="27D77A33" w14:textId="77777777" w:rsidR="00FC7A65" w:rsidRPr="00A777A8" w:rsidRDefault="00FC7A65" w:rsidP="00FC7A65">
      <w:pPr>
        <w:spacing w:after="0" w:line="240" w:lineRule="auto"/>
        <w:jc w:val="center"/>
        <w:rPr>
          <w:rFonts w:ascii="Arial" w:hAnsi="Arial" w:cs="Arial"/>
          <w:b/>
          <w:szCs w:val="18"/>
        </w:rPr>
      </w:pPr>
      <w:r w:rsidRPr="00A777A8">
        <w:rPr>
          <w:rFonts w:ascii="Arial" w:hAnsi="Arial" w:cs="Arial"/>
          <w:b/>
          <w:szCs w:val="18"/>
        </w:rPr>
        <w:t>INFORMACIONI LIST</w:t>
      </w:r>
    </w:p>
    <w:p w14:paraId="1077CE92" w14:textId="77777777" w:rsidR="00FC7A65" w:rsidRPr="00A777A8" w:rsidRDefault="00FC7A65" w:rsidP="00FC7A6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6035" w:type="pct"/>
        <w:jc w:val="center"/>
        <w:tblLook w:val="04A0" w:firstRow="1" w:lastRow="0" w:firstColumn="1" w:lastColumn="0" w:noHBand="0" w:noVBand="1"/>
      </w:tblPr>
      <w:tblGrid>
        <w:gridCol w:w="1717"/>
        <w:gridCol w:w="9916"/>
      </w:tblGrid>
      <w:tr w:rsidR="00FC7A65" w:rsidRPr="00A3122F" w14:paraId="32A70C96" w14:textId="77777777" w:rsidTr="0062683A">
        <w:trPr>
          <w:jc w:val="center"/>
        </w:trPr>
        <w:tc>
          <w:tcPr>
            <w:tcW w:w="738" w:type="pct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5F3C7AEC" w14:textId="77777777" w:rsidR="00FC7A65" w:rsidRPr="00956C35" w:rsidRDefault="00FC7A65" w:rsidP="00A826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</w:p>
          <w:p w14:paraId="2E449F4E" w14:textId="77777777" w:rsidR="00FC7A65" w:rsidRPr="00956C35" w:rsidRDefault="00FC7A65" w:rsidP="00A826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4262" w:type="pct"/>
            <w:tcBorders>
              <w:bottom w:val="single" w:sz="4" w:space="0" w:color="7F7F7F"/>
            </w:tcBorders>
            <w:shd w:val="clear" w:color="auto" w:fill="FFFFFF"/>
          </w:tcPr>
          <w:p w14:paraId="19A03893" w14:textId="6673E2A4" w:rsidR="00FC7A65" w:rsidRPr="00956C35" w:rsidRDefault="00FC7A65" w:rsidP="00A8262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               </w:t>
            </w:r>
            <w:r w:rsidR="006A6E1B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 xml:space="preserve">  </w:t>
            </w:r>
            <w:r w:rsidR="00705162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>Održivi paket usluga za finansijsku inkluziju</w:t>
            </w:r>
          </w:p>
        </w:tc>
      </w:tr>
      <w:tr w:rsidR="00FC7A65" w:rsidRPr="00A3122F" w14:paraId="6B2C9464" w14:textId="77777777" w:rsidTr="0062683A">
        <w:trPr>
          <w:trHeight w:val="962"/>
          <w:jc w:val="center"/>
        </w:trPr>
        <w:tc>
          <w:tcPr>
            <w:tcW w:w="738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9A9E46" w14:textId="77777777" w:rsidR="00FC7A65" w:rsidRPr="00A777A8" w:rsidRDefault="00FC7A65" w:rsidP="00A8262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</w:t>
            </w: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arakteristike proizvoda</w:t>
            </w:r>
          </w:p>
        </w:tc>
        <w:tc>
          <w:tcPr>
            <w:tcW w:w="4262" w:type="pct"/>
            <w:tcBorders>
              <w:top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10F6" w14:textId="4D0C3E3D" w:rsidR="00705162" w:rsidRPr="0021750D" w:rsidRDefault="00705162" w:rsidP="00705162">
            <w:pPr>
              <w:pStyle w:val="tekst"/>
              <w:shd w:val="clear" w:color="auto" w:fill="auto"/>
              <w:spacing w:line="240" w:lineRule="auto"/>
              <w:rPr>
                <w:rFonts w:eastAsia="Calibri"/>
                <w:color w:val="auto"/>
                <w:sz w:val="18"/>
                <w:szCs w:val="18"/>
                <w:lang w:val="hr-BA"/>
              </w:rPr>
            </w:pPr>
            <w:r>
              <w:rPr>
                <w:rFonts w:eastAsia="Calibri"/>
                <w:color w:val="auto"/>
                <w:sz w:val="18"/>
                <w:szCs w:val="18"/>
                <w:lang w:val="hr-BA"/>
              </w:rPr>
              <w:t>Održivi paket za finansijsku inkluziju (u daljem tekstu</w:t>
            </w:r>
            <w:r w:rsidR="00C31F95">
              <w:rPr>
                <w:rFonts w:eastAsia="Calibri"/>
                <w:color w:val="auto"/>
                <w:sz w:val="18"/>
                <w:szCs w:val="18"/>
                <w:lang w:val="hr-BA"/>
              </w:rPr>
              <w:t>:</w:t>
            </w:r>
            <w:r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 Paket</w:t>
            </w:r>
            <w:r w:rsidR="00C31F95"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 usluga</w:t>
            </w:r>
            <w:r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) omogućava korištenje </w:t>
            </w:r>
            <w:r w:rsidR="00A64281"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paketa </w:t>
            </w:r>
            <w:r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bankarskih usluga po jedinstvenoj cijeni izraženoj kroz mjesečnu naknadu za </w:t>
            </w:r>
            <w:r w:rsidR="00A64281"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vođenje </w:t>
            </w:r>
            <w:r>
              <w:rPr>
                <w:rFonts w:eastAsia="Calibri"/>
                <w:color w:val="auto"/>
                <w:sz w:val="18"/>
                <w:szCs w:val="18"/>
                <w:lang w:val="hr-BA"/>
              </w:rPr>
              <w:t>Paket</w:t>
            </w:r>
            <w:r w:rsidR="00A64281"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a usluga </w:t>
            </w:r>
            <w:r>
              <w:rPr>
                <w:rFonts w:eastAsia="Calibri"/>
                <w:color w:val="auto"/>
                <w:sz w:val="18"/>
                <w:szCs w:val="18"/>
                <w:lang w:val="hr-BA"/>
              </w:rPr>
              <w:t>.</w:t>
            </w:r>
            <w:r w:rsidR="00516913" w:rsidRPr="008022B9"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 </w:t>
            </w:r>
            <w:r w:rsidR="00A64281">
              <w:rPr>
                <w:rFonts w:eastAsia="Calibri"/>
                <w:color w:val="auto"/>
                <w:sz w:val="18"/>
                <w:szCs w:val="18"/>
                <w:lang w:val="hr-BA"/>
              </w:rPr>
              <w:t>Ovaj proizvod se ugovara na</w:t>
            </w:r>
            <w:r w:rsidRPr="00956C35"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 osnovu stalnih pril</w:t>
            </w:r>
            <w:r>
              <w:rPr>
                <w:rFonts w:eastAsia="Calibri"/>
                <w:color w:val="auto"/>
                <w:sz w:val="18"/>
                <w:szCs w:val="18"/>
                <w:lang w:val="hr-BA"/>
              </w:rPr>
              <w:t>iva plate, penzije, invalidnine</w:t>
            </w:r>
            <w:r w:rsidRPr="00956C35"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 te drugih izvora primanja usmjerenih na tekući račun. </w:t>
            </w:r>
            <w:r w:rsidR="00A64281" w:rsidRPr="00EA25A6">
              <w:rPr>
                <w:sz w:val="18"/>
                <w:szCs w:val="18"/>
              </w:rPr>
              <w:t>Za korištenje usluga sadržanih u Paketu usluga, Klijent i Banka zaključuju posebne ugovore koji se odnose na pojedine bankarske proizvode i usluge</w:t>
            </w:r>
            <w:r w:rsidR="00A64281">
              <w:rPr>
                <w:sz w:val="18"/>
                <w:szCs w:val="18"/>
              </w:rPr>
              <w:t>.</w:t>
            </w:r>
          </w:p>
        </w:tc>
      </w:tr>
      <w:tr w:rsidR="00FC7A65" w:rsidRPr="00A3122F" w14:paraId="2564081C" w14:textId="77777777" w:rsidTr="0062683A">
        <w:trPr>
          <w:trHeight w:val="122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845B72B" w14:textId="77777777" w:rsidR="00FC7A65" w:rsidRPr="00A777A8" w:rsidRDefault="00FC7A65" w:rsidP="00A8262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Korisnici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DDB" w14:textId="26C7167F" w:rsidR="00A64281" w:rsidRDefault="00A64281" w:rsidP="00A64281">
            <w:pPr>
              <w:pStyle w:val="tekst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  <w:lang w:val="hr-BA"/>
              </w:rPr>
              <w:t>Korisnici Paketa usluga</w:t>
            </w:r>
            <w:r w:rsidR="00FC7A65" w:rsidRPr="00956C35"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 mogu biti</w:t>
            </w:r>
            <w:r>
              <w:rPr>
                <w:rFonts w:eastAsia="Calibri"/>
                <w:color w:val="auto"/>
                <w:sz w:val="18"/>
                <w:szCs w:val="18"/>
                <w:lang w:val="hr-BA"/>
              </w:rPr>
              <w:t>:</w:t>
            </w:r>
            <w:r w:rsidR="00551A22">
              <w:rPr>
                <w:rFonts w:eastAsia="Calibri"/>
                <w:color w:val="auto"/>
                <w:sz w:val="18"/>
                <w:szCs w:val="18"/>
                <w:lang w:val="hr-BA"/>
              </w:rPr>
              <w:t xml:space="preserve"> </w:t>
            </w:r>
          </w:p>
          <w:p w14:paraId="2422C730" w14:textId="29A9C845" w:rsidR="00FC7A65" w:rsidRPr="00A3122F" w:rsidRDefault="00FC7A65" w:rsidP="0062683A">
            <w:pPr>
              <w:pStyle w:val="tekst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3122F">
              <w:rPr>
                <w:sz w:val="18"/>
                <w:szCs w:val="18"/>
              </w:rPr>
              <w:t>domaća fizička lica - rezidenti stariji od 18 (osamnaest) godina sa stalnim prebivalištem u BiH,</w:t>
            </w:r>
          </w:p>
          <w:p w14:paraId="65405201" w14:textId="77777777" w:rsidR="00FC7A65" w:rsidRPr="00A3122F" w:rsidRDefault="00FC7A65" w:rsidP="00FC7A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22F">
              <w:rPr>
                <w:rFonts w:ascii="Arial" w:hAnsi="Arial" w:cs="Arial"/>
                <w:sz w:val="18"/>
                <w:szCs w:val="18"/>
              </w:rPr>
              <w:t>maloljetni rezidenti za koje račun može otvoriti zakonski zastupnik (roditelj),</w:t>
            </w:r>
          </w:p>
          <w:p w14:paraId="6F96DAD5" w14:textId="77777777" w:rsidR="00FC7A65" w:rsidRPr="00A3122F" w:rsidRDefault="00FC7A65" w:rsidP="00FC7A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22F">
              <w:rPr>
                <w:rFonts w:ascii="Arial" w:hAnsi="Arial" w:cs="Arial"/>
                <w:sz w:val="18"/>
                <w:szCs w:val="18"/>
              </w:rPr>
              <w:t>lica pod starateljstvom (punoljetna i maloljetna) za koje račun mogu otvoriti zakonski staratelji,</w:t>
            </w:r>
          </w:p>
          <w:p w14:paraId="77161657" w14:textId="095621DB" w:rsidR="00FC7A65" w:rsidRPr="00A3122F" w:rsidRDefault="00FC7A65" w:rsidP="00FC7A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22F">
              <w:rPr>
                <w:rFonts w:ascii="Arial" w:hAnsi="Arial" w:cs="Arial"/>
                <w:sz w:val="18"/>
                <w:szCs w:val="18"/>
              </w:rPr>
              <w:t>strana fizička lica - nerezidenti.</w:t>
            </w:r>
          </w:p>
        </w:tc>
      </w:tr>
      <w:tr w:rsidR="00516913" w:rsidRPr="00A3122F" w14:paraId="52757E10" w14:textId="77777777" w:rsidTr="0062683A">
        <w:trPr>
          <w:trHeight w:val="69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082EE04" w14:textId="4FB5CAAD" w:rsidR="00516913" w:rsidRPr="00A777A8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Iznos usluge, oznaka valute i uslovi korištenja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638C" w14:textId="3EB6DABB" w:rsidR="00CC6D5F" w:rsidRDefault="00CC6D5F" w:rsidP="005169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D85E2C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Mjesečna naknada za vođenje </w:t>
            </w:r>
            <w:r w:rsidR="00A64281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</w:t>
            </w:r>
            <w:r w:rsidRPr="00D85E2C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aketa </w:t>
            </w:r>
            <w:r w:rsidR="00A64281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usluga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je </w:t>
            </w:r>
            <w:r w:rsidRPr="00D85E2C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promjenjiva naknada u iznosu 0,30%</w:t>
            </w:r>
            <w:r w:rsidR="00210910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 (KM 3,78)</w:t>
            </w:r>
            <w:r w:rsidRPr="00D85E2C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 prosječne neto plate u FBiH za prethodnu godinu izračunate na godišnjoj razini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. </w:t>
            </w:r>
            <w:r w:rsidRPr="00CC6D5F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Navedena naknada se mijenja godišnje nakon objave prosječne neto plate u FBIH od strane Zavoda za statistiku FBiH pri čemu navedena naknada ne može biti veća od 0,30% prosječne neto plate u FBIH izražena na godišnjem nivou.</w:t>
            </w:r>
          </w:p>
          <w:p w14:paraId="79F1F5F4" w14:textId="6D0B05D0" w:rsidR="00CC6D5F" w:rsidRPr="00CC6D5F" w:rsidRDefault="00CC6D5F" w:rsidP="005169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C35DEF" w:rsidRPr="00A3122F" w14:paraId="4D0A5977" w14:textId="77777777" w:rsidTr="0062683A">
        <w:trPr>
          <w:trHeight w:val="26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0343EFC" w14:textId="77777777" w:rsidR="00C35DEF" w:rsidRPr="00A777A8" w:rsidRDefault="00C35DEF" w:rsidP="00C35DE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Preduslov za korištenje proizvoda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2661" w14:textId="76CD00A5" w:rsidR="00C35DEF" w:rsidRPr="008022B9" w:rsidRDefault="00CC6D5F" w:rsidP="00C35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Aktivan tekući račun</w:t>
            </w:r>
            <w:r w:rsidR="006A6E1B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 banci.</w:t>
            </w:r>
          </w:p>
        </w:tc>
      </w:tr>
      <w:tr w:rsidR="00516913" w:rsidRPr="00A3122F" w14:paraId="7F6D820F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116F862" w14:textId="77777777" w:rsidR="00516913" w:rsidRPr="00A777A8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Trajanje u</w:t>
            </w: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govora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8C64" w14:textId="3632A342" w:rsidR="00516913" w:rsidRPr="00A3122F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Pr="00A3122F">
              <w:rPr>
                <w:rFonts w:ascii="Arial" w:hAnsi="Arial" w:cs="Arial"/>
                <w:sz w:val="18"/>
                <w:szCs w:val="18"/>
              </w:rPr>
              <w:t xml:space="preserve"> neodređeno vrijeme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5DEF">
              <w:rPr>
                <w:rFonts w:ascii="Arial" w:hAnsi="Arial" w:cs="Arial"/>
                <w:sz w:val="18"/>
                <w:szCs w:val="18"/>
              </w:rPr>
              <w:t>do otkaza usluge ili nastupanja uslova za r</w:t>
            </w:r>
            <w:r w:rsidR="006A6E1B">
              <w:rPr>
                <w:rFonts w:ascii="Arial" w:hAnsi="Arial" w:cs="Arial"/>
                <w:sz w:val="18"/>
                <w:szCs w:val="18"/>
              </w:rPr>
              <w:t>a</w:t>
            </w:r>
            <w:r w:rsidR="00C35DEF">
              <w:rPr>
                <w:rFonts w:ascii="Arial" w:hAnsi="Arial" w:cs="Arial"/>
                <w:sz w:val="18"/>
                <w:szCs w:val="18"/>
              </w:rPr>
              <w:t>skid ugovora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16913" w:rsidRPr="00A3122F" w14:paraId="0F15F5E9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7238052" w14:textId="77777777" w:rsidR="00516913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Prijevremeni raskid/otkaz ugovora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2C44" w14:textId="5AEAFD4A" w:rsidR="00516913" w:rsidRPr="002459CB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9CB">
              <w:rPr>
                <w:rFonts w:ascii="Arial" w:hAnsi="Arial" w:cs="Arial"/>
                <w:sz w:val="18"/>
                <w:szCs w:val="18"/>
              </w:rPr>
              <w:t>Svaka ugovorna strana ima pravo na raskid ugovora bez otkaznog roka.</w:t>
            </w:r>
            <w:bookmarkStart w:id="6" w:name="_Hlk147912694"/>
            <w:r w:rsidR="002459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9CB" w:rsidRPr="002459CB">
              <w:rPr>
                <w:rFonts w:ascii="Arial" w:hAnsi="Arial" w:cs="Arial"/>
                <w:sz w:val="18"/>
                <w:szCs w:val="18"/>
              </w:rPr>
              <w:t>Ugovor prestaje važiti jednostranim otkazom ili raskidom od strane Klijenta ili Banke, uslijed smrti Klijenta, zakonskih ili podzakonskih propisa</w:t>
            </w:r>
            <w:r w:rsidR="002459CB">
              <w:rPr>
                <w:rFonts w:ascii="Arial" w:hAnsi="Arial" w:cs="Arial"/>
                <w:sz w:val="18"/>
                <w:szCs w:val="18"/>
              </w:rPr>
              <w:t>.</w:t>
            </w:r>
            <w:r w:rsidRPr="002459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9CB">
              <w:rPr>
                <w:rFonts w:ascii="Arial" w:hAnsi="Arial" w:cs="Arial"/>
                <w:sz w:val="18"/>
                <w:szCs w:val="18"/>
                <w:lang w:val="hr-HR"/>
              </w:rPr>
              <w:t xml:space="preserve">Banka zadržava pravo jednostranog otkaza Ugovora bez obrazloženja istog. Kad </w:t>
            </w:r>
            <w:r w:rsidR="00C35DEF" w:rsidRPr="002459CB">
              <w:rPr>
                <w:rFonts w:ascii="Arial" w:hAnsi="Arial" w:cs="Arial"/>
                <w:sz w:val="18"/>
                <w:szCs w:val="18"/>
                <w:lang w:val="hr-HR"/>
              </w:rPr>
              <w:t>Klijent</w:t>
            </w:r>
            <w:r w:rsidRPr="002459CB">
              <w:rPr>
                <w:rFonts w:ascii="Arial" w:hAnsi="Arial" w:cs="Arial"/>
                <w:sz w:val="18"/>
                <w:szCs w:val="18"/>
                <w:lang w:val="hr-HR"/>
              </w:rPr>
              <w:t xml:space="preserve"> zloupotrijebi prava i ovlaštenja </w:t>
            </w:r>
            <w:r w:rsidR="003E2CB6" w:rsidRPr="002459CB">
              <w:rPr>
                <w:rFonts w:ascii="Arial" w:hAnsi="Arial" w:cs="Arial"/>
                <w:sz w:val="18"/>
                <w:szCs w:val="18"/>
                <w:lang w:val="hr-HR"/>
              </w:rPr>
              <w:t>u korištenju usluge</w:t>
            </w:r>
            <w:r w:rsidRPr="002459CB">
              <w:rPr>
                <w:rFonts w:ascii="Arial" w:hAnsi="Arial" w:cs="Arial"/>
                <w:sz w:val="18"/>
                <w:szCs w:val="18"/>
                <w:lang w:val="hr-HR"/>
              </w:rPr>
              <w:t xml:space="preserve">, ili ukoliko postupa suprotno zakonskim odredbama koje se odnose </w:t>
            </w:r>
            <w:r w:rsidR="003E2CB6" w:rsidRPr="002459CB">
              <w:rPr>
                <w:rFonts w:ascii="Arial" w:hAnsi="Arial" w:cs="Arial"/>
                <w:sz w:val="18"/>
                <w:szCs w:val="18"/>
                <w:lang w:val="hr-HR"/>
              </w:rPr>
              <w:t>na poslovni odnos i korištenje usluge</w:t>
            </w:r>
            <w:r w:rsidRPr="002459CB">
              <w:rPr>
                <w:rFonts w:ascii="Arial" w:hAnsi="Arial" w:cs="Arial"/>
                <w:sz w:val="18"/>
                <w:szCs w:val="18"/>
                <w:lang w:val="hr-HR"/>
              </w:rPr>
              <w:t xml:space="preserve">, Banka može i bez njegovog pristanka zatvoriti </w:t>
            </w:r>
            <w:r w:rsidR="00C35DEF" w:rsidRPr="002459CB">
              <w:rPr>
                <w:rFonts w:ascii="Arial" w:hAnsi="Arial" w:cs="Arial"/>
                <w:sz w:val="18"/>
                <w:szCs w:val="18"/>
                <w:lang w:val="hr-HR"/>
              </w:rPr>
              <w:t>Paket</w:t>
            </w:r>
            <w:r w:rsidRPr="002459CB">
              <w:rPr>
                <w:rFonts w:ascii="Arial" w:hAnsi="Arial" w:cs="Arial"/>
                <w:sz w:val="18"/>
                <w:szCs w:val="18"/>
                <w:lang w:val="hr-HR"/>
              </w:rPr>
              <w:t xml:space="preserve">, </w:t>
            </w:r>
            <w:r w:rsidR="003E2CB6" w:rsidRPr="002459CB">
              <w:rPr>
                <w:rFonts w:ascii="Arial" w:hAnsi="Arial" w:cs="Arial"/>
                <w:sz w:val="18"/>
                <w:szCs w:val="18"/>
                <w:lang w:val="hr-HR"/>
              </w:rPr>
              <w:t>te</w:t>
            </w:r>
            <w:r w:rsidRPr="002459CB">
              <w:rPr>
                <w:rFonts w:ascii="Arial" w:hAnsi="Arial" w:cs="Arial"/>
                <w:sz w:val="18"/>
                <w:szCs w:val="18"/>
                <w:lang w:val="hr-HR"/>
              </w:rPr>
              <w:t xml:space="preserve"> u slučaju </w:t>
            </w:r>
            <w:r w:rsidR="003E2CB6" w:rsidRPr="002459CB">
              <w:rPr>
                <w:rFonts w:ascii="Arial" w:hAnsi="Arial" w:cs="Arial"/>
                <w:sz w:val="18"/>
                <w:szCs w:val="18"/>
                <w:lang w:val="hr-HR"/>
              </w:rPr>
              <w:t>ukoliko</w:t>
            </w:r>
            <w:r w:rsidRPr="002459CB">
              <w:rPr>
                <w:rFonts w:ascii="Arial" w:hAnsi="Arial" w:cs="Arial"/>
                <w:sz w:val="18"/>
                <w:szCs w:val="18"/>
                <w:lang w:val="hr-HR"/>
              </w:rPr>
              <w:t xml:space="preserve"> se račun proglasi neaktivnim. </w:t>
            </w:r>
            <w:bookmarkEnd w:id="6"/>
            <w:r w:rsidR="00A64281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Korisnik</w:t>
            </w:r>
            <w:r w:rsidRPr="002459CB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 se o jednostranom raskidu Ugovora obavještava </w:t>
            </w:r>
            <w:r w:rsidR="002459CB" w:rsidRPr="002459CB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pisanim</w:t>
            </w:r>
            <w:r w:rsidRPr="002459CB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 putem pri čemu se osnovna kao i sve dodatne kartice gase. </w:t>
            </w:r>
            <w:r w:rsidR="002459CB" w:rsidRPr="002459CB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Ovaj Ugovor će se smatrati raskinutim ukoliko tekući račun Klijenta otvoren u Banci bude ugašen/zatvoren iz bilo kojeg razloga i to momentom gašenja/zatvaranja tekućeg računa. </w:t>
            </w:r>
          </w:p>
        </w:tc>
      </w:tr>
      <w:tr w:rsidR="00516913" w:rsidRPr="00A3122F" w14:paraId="4C773E8F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324952" w14:textId="77777777" w:rsidR="00516913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Zatezna kamata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616" w14:textId="4E40E61E" w:rsidR="00516913" w:rsidRPr="00A3122F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E35D1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U slučaju kašnjenja sa izmirenjem bilo koje ugovorene obaveze Banka će </w:t>
            </w:r>
            <w:r w:rsidR="00A64281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Korisnik</w:t>
            </w:r>
            <w:r w:rsidRPr="009E35D1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 mjesečno obračunavati zateznu kamatu u skladu sa zakonski propisanom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, </w:t>
            </w:r>
            <w:r w:rsidRPr="005F602F">
              <w:rPr>
                <w:rFonts w:ascii="Arial" w:hAnsi="Arial" w:cs="Arial"/>
                <w:sz w:val="18"/>
                <w:szCs w:val="18"/>
              </w:rPr>
              <w:t xml:space="preserve">a koja na  dan </w:t>
            </w:r>
            <w:r>
              <w:rPr>
                <w:rFonts w:ascii="Arial" w:hAnsi="Arial" w:cs="Arial"/>
                <w:sz w:val="18"/>
                <w:szCs w:val="18"/>
              </w:rPr>
              <w:t>uručenja</w:t>
            </w:r>
            <w:r w:rsidRPr="005F602F">
              <w:rPr>
                <w:rFonts w:ascii="Arial" w:hAnsi="Arial" w:cs="Arial"/>
                <w:sz w:val="18"/>
                <w:szCs w:val="18"/>
              </w:rPr>
              <w:t xml:space="preserve"> ovog </w:t>
            </w:r>
            <w:r>
              <w:rPr>
                <w:rFonts w:ascii="Arial" w:hAnsi="Arial" w:cs="Arial"/>
                <w:sz w:val="18"/>
                <w:szCs w:val="18"/>
              </w:rPr>
              <w:t>informacionog lista</w:t>
            </w:r>
            <w:r w:rsidRPr="005F602F">
              <w:rPr>
                <w:rFonts w:ascii="Arial" w:hAnsi="Arial" w:cs="Arial"/>
                <w:sz w:val="18"/>
                <w:szCs w:val="18"/>
              </w:rPr>
              <w:t xml:space="preserve"> iznosi 10% na godišnjem nivou,</w:t>
            </w:r>
            <w:r w:rsidRPr="009E35D1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 na iznos dospjele obaveze računajući od dana dospijeća i to za kašnjenja duža od 10 dana. Obračun zatezne kamate </w:t>
            </w:r>
            <w:r w:rsidR="00A64281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Korisnik</w:t>
            </w:r>
            <w:r w:rsidRPr="009E35D1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 može preuzeti u prostorijama Banke.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 xml:space="preserve"> </w:t>
            </w:r>
            <w:r w:rsidRPr="009E35D1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Izmjena visine stope zatezne kamate će se vršiti samo na osnovu izmjena zakonskih propisa.</w:t>
            </w:r>
          </w:p>
        </w:tc>
      </w:tr>
      <w:tr w:rsidR="00516913" w:rsidRPr="00A3122F" w14:paraId="0A8F8B62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1DE6B3D" w14:textId="36FFE2C4" w:rsidR="00516913" w:rsidRDefault="00A1678B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Iznosi naknada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6CCA" w14:textId="23ED79BA" w:rsidR="00516913" w:rsidRDefault="00516913" w:rsidP="00516913">
            <w:pPr>
              <w:widowControl w:val="0"/>
              <w:tabs>
                <w:tab w:val="left" w:pos="0"/>
                <w:tab w:val="left" w:pos="127"/>
              </w:tabs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7508F3">
              <w:rPr>
                <w:rFonts w:ascii="Arial" w:hAnsi="Arial" w:cs="Arial"/>
                <w:sz w:val="18"/>
                <w:szCs w:val="18"/>
                <w:lang w:val="hr-HR"/>
              </w:rPr>
              <w:t>Banka u vrijeme izrade ovog informacionog lista primjenjuje naknade</w:t>
            </w:r>
            <w:r w:rsidR="00527106">
              <w:rPr>
                <w:rFonts w:ascii="Arial" w:hAnsi="Arial" w:cs="Arial"/>
                <w:sz w:val="18"/>
                <w:szCs w:val="18"/>
                <w:lang w:val="hr-HR"/>
              </w:rPr>
              <w:t xml:space="preserve"> za Paket</w:t>
            </w:r>
            <w:r w:rsidRPr="007508F3">
              <w:rPr>
                <w:rFonts w:ascii="Arial" w:hAnsi="Arial" w:cs="Arial"/>
                <w:sz w:val="18"/>
                <w:szCs w:val="18"/>
                <w:lang w:val="hr-HR"/>
              </w:rPr>
              <w:t xml:space="preserve">  kako slijedi:</w:t>
            </w:r>
          </w:p>
          <w:tbl>
            <w:tblPr>
              <w:tblW w:w="9690" w:type="dxa"/>
              <w:tblBorders>
                <w:top w:val="dotted" w:sz="4" w:space="0" w:color="AEAAAA"/>
                <w:left w:val="dotted" w:sz="4" w:space="0" w:color="AEAAAA"/>
                <w:bottom w:val="dotted" w:sz="4" w:space="0" w:color="AEAAAA"/>
                <w:right w:val="dotted" w:sz="4" w:space="0" w:color="AEAAAA"/>
                <w:insideH w:val="dotted" w:sz="4" w:space="0" w:color="AEAAAA"/>
                <w:insideV w:val="dotted" w:sz="4" w:space="0" w:color="AEAAAA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72"/>
              <w:gridCol w:w="2118"/>
            </w:tblGrid>
            <w:tr w:rsidR="006A6E1B" w:rsidRPr="007508F3" w14:paraId="63F8727D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  <w:vAlign w:val="center"/>
                </w:tcPr>
                <w:p w14:paraId="1A78AA69" w14:textId="77777777" w:rsidR="006A6E1B" w:rsidRPr="001314D6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1314D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Proizvod/Usluga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222E4421" w14:textId="77777777" w:rsidR="006A6E1B" w:rsidRPr="001314D6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1314D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Naknada</w:t>
                  </w:r>
                </w:p>
              </w:tc>
            </w:tr>
            <w:tr w:rsidR="006A6E1B" w:rsidRPr="007508F3" w14:paraId="6E9196A5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4D4D10B5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Mjesečna naknada za vođenje paketa – promjenjiva naknada u iznosu 0,30% prosječne neto plate u FBiH za prethodnu godinu izračunate na godišnjoj razini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2086CDCB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0,30% (KM 3,78)*</w:t>
                  </w:r>
                </w:p>
              </w:tc>
            </w:tr>
            <w:tr w:rsidR="006A6E1B" w:rsidRPr="007508F3" w14:paraId="1BAD0854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624D3718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Vođenje računa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  <w:hideMark/>
                </w:tcPr>
                <w:p w14:paraId="47477700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 xml:space="preserve">Bez naknade  </w:t>
                  </w:r>
                </w:p>
              </w:tc>
            </w:tr>
            <w:tr w:rsidR="006A6E1B" w:rsidRPr="007508F3" w14:paraId="334349F0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58254360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Izdavanje/reizdavanje debitne kartice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  <w:hideMark/>
                </w:tcPr>
                <w:p w14:paraId="289690F2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 xml:space="preserve">Bez naknade  </w:t>
                  </w:r>
                </w:p>
              </w:tc>
            </w:tr>
            <w:tr w:rsidR="006A6E1B" w:rsidRPr="007508F3" w14:paraId="5DD26772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3778549B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Godišnja članarina za debitnu karticu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  <w:hideMark/>
                </w:tcPr>
                <w:p w14:paraId="1E527EAD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Bez naknade</w:t>
                  </w:r>
                </w:p>
              </w:tc>
            </w:tr>
            <w:tr w:rsidR="006A6E1B" w:rsidRPr="007508F3" w14:paraId="771BC642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6BD76DE2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Slanje izvoda putem emaila ili drugog elektronskog načina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429F5F67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Bez naknade</w:t>
                  </w:r>
                </w:p>
              </w:tc>
            </w:tr>
            <w:tr w:rsidR="006A6E1B" w:rsidRPr="007508F3" w14:paraId="4BDE787C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7F91DBFE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Naknada za korištenje Internet i mobilnog bankarstva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19B18F98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Bez naknade</w:t>
                  </w:r>
                </w:p>
              </w:tc>
            </w:tr>
            <w:tr w:rsidR="006A6E1B" w:rsidRPr="007508F3" w14:paraId="33DB8D47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30C104B7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Otvaranje trajnog naloga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77DEA7E2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Bez naknade</w:t>
                  </w:r>
                </w:p>
              </w:tc>
            </w:tr>
            <w:tr w:rsidR="006A6E1B" w:rsidRPr="007508F3" w14:paraId="5ED274DE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08C7A028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snapToGrid w:val="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Promjena PIN-a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6D57DD52" w14:textId="720B7387" w:rsidR="006A6E1B" w:rsidRPr="00680290" w:rsidRDefault="008B6842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Bez naknade</w:t>
                  </w:r>
                </w:p>
              </w:tc>
            </w:tr>
            <w:tr w:rsidR="006A6E1B" w:rsidRPr="007508F3" w14:paraId="02EB02F2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4ADA6002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Neograničeno plaćanje roba i usluga na POS terminalima u BiH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36A21421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Bez naknade</w:t>
                  </w:r>
                </w:p>
              </w:tc>
            </w:tr>
            <w:tr w:rsidR="006A6E1B" w:rsidRPr="007508F3" w14:paraId="4D985EDC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0CDC9FEF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Naknada za povećanje prekoračenja na zahtjev klijenta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06F05924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Bez naknade</w:t>
                  </w:r>
                </w:p>
              </w:tc>
            </w:tr>
            <w:tr w:rsidR="006A6E1B" w:rsidRPr="007508F3" w14:paraId="0CF1B998" w14:textId="77777777" w:rsidTr="003E09AF">
              <w:trPr>
                <w:trHeight w:val="269"/>
              </w:trPr>
              <w:tc>
                <w:tcPr>
                  <w:tcW w:w="7572" w:type="dxa"/>
                  <w:shd w:val="clear" w:color="auto" w:fill="auto"/>
                </w:tcPr>
                <w:p w14:paraId="697BEF9F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10 naloga UPP bezgotovinskih kumulativno do max. 10.000,00 KM mjesečno (GC nalozi - bezgotovinska plaćanja putem šaltera, internet/mobilnog bankarstva, trajnog naloga)</w:t>
                  </w: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52A48791" w14:textId="77777777" w:rsidR="006A6E1B" w:rsidRPr="00680290" w:rsidRDefault="006A6E1B" w:rsidP="006A6E1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Bez naknade</w:t>
                  </w:r>
                </w:p>
              </w:tc>
            </w:tr>
          </w:tbl>
          <w:p w14:paraId="6469ABAF" w14:textId="08011EF6" w:rsidR="0098291F" w:rsidRPr="0062683A" w:rsidRDefault="0098291F" w:rsidP="0098291F">
            <w:pPr>
              <w:pStyle w:val="Footnot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62683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 odnosu na prosječnu neto platu u FBIH za prethodnu godinu izračunatu na godišnjoj razini. Navedena naknada se mijenja godišnje nakon objave prosječne neto plate u FBIH od strane Zavoda za statistiku FBiH pri čemu navedena naknada ne može biti veća od 0,30% prosječne neto plate u FBIH izražena na godišnjem nivou.</w:t>
            </w:r>
          </w:p>
          <w:p w14:paraId="41C2DC84" w14:textId="77777777" w:rsidR="0098291F" w:rsidRDefault="0098291F" w:rsidP="00112DF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C0BBD95" w14:textId="77777777" w:rsidR="0098291F" w:rsidRDefault="0098291F" w:rsidP="00112DF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59B7BAF" w14:textId="08110EC8" w:rsidR="00112DF6" w:rsidRPr="007508F3" w:rsidRDefault="00A1678B" w:rsidP="0062683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U slučaju prekoračenja 10 UPP bezgotovinskih naloga ili kumulativa KM 10.000, Banka primjenjuje naknade u skladu sa Tarifom naknada u poslovanju sa fizičkim licima važećoj u momentu obračuna naknade. </w:t>
            </w:r>
            <w:r w:rsidR="00112D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Z</w:t>
            </w:r>
            <w:r w:rsidR="00516913" w:rsidRPr="007508F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 </w:t>
            </w:r>
            <w:proofErr w:type="spellStart"/>
            <w:r w:rsidR="00112D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sve</w:t>
            </w:r>
            <w:proofErr w:type="spellEnd"/>
            <w:r w:rsidR="00112D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12D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ostale</w:t>
            </w:r>
            <w:proofErr w:type="spellEnd"/>
            <w:r w:rsidR="00112D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12D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proizvode</w:t>
            </w:r>
            <w:proofErr w:type="spellEnd"/>
            <w:r w:rsidR="00112D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/</w:t>
            </w:r>
            <w:proofErr w:type="spellStart"/>
            <w:r w:rsidR="00112D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usluge</w:t>
            </w:r>
            <w:proofErr w:type="spellEnd"/>
            <w:r w:rsidR="00112D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112DF6">
              <w:rPr>
                <w:rFonts w:ascii="Arial" w:hAnsi="Arial" w:cs="Arial"/>
                <w:sz w:val="18"/>
                <w:szCs w:val="18"/>
                <w:lang w:val="hr-HR"/>
              </w:rPr>
              <w:t xml:space="preserve">koje nisu sadržane u </w:t>
            </w:r>
            <w:r w:rsidR="005224FD">
              <w:rPr>
                <w:rFonts w:ascii="Arial" w:hAnsi="Arial" w:cs="Arial"/>
                <w:sz w:val="18"/>
                <w:szCs w:val="18"/>
                <w:lang w:val="hr-HR"/>
              </w:rPr>
              <w:t>Paketu,</w:t>
            </w:r>
            <w:r w:rsidR="00112DF6">
              <w:rPr>
                <w:rFonts w:ascii="Arial" w:hAnsi="Arial" w:cs="Arial"/>
                <w:sz w:val="18"/>
                <w:szCs w:val="18"/>
                <w:lang w:val="hr-HR"/>
              </w:rPr>
              <w:t xml:space="preserve"> Banka </w:t>
            </w:r>
            <w:r w:rsidR="00516913" w:rsidRPr="007508F3">
              <w:rPr>
                <w:rFonts w:ascii="Arial" w:hAnsi="Arial" w:cs="Arial"/>
                <w:sz w:val="18"/>
                <w:szCs w:val="18"/>
                <w:lang w:val="hr-HR"/>
              </w:rPr>
              <w:t>primjenjuj</w:t>
            </w:r>
            <w:r w:rsidR="00112DF6">
              <w:rPr>
                <w:rFonts w:ascii="Arial" w:hAnsi="Arial" w:cs="Arial"/>
                <w:sz w:val="18"/>
                <w:szCs w:val="18"/>
                <w:lang w:val="hr-HR"/>
              </w:rPr>
              <w:t>e</w:t>
            </w:r>
            <w:r w:rsidR="00516913" w:rsidRPr="007508F3">
              <w:rPr>
                <w:rFonts w:ascii="Arial" w:hAnsi="Arial" w:cs="Arial"/>
                <w:sz w:val="18"/>
                <w:szCs w:val="18"/>
                <w:lang w:val="hr-HR"/>
              </w:rPr>
              <w:t xml:space="preserve"> naknade </w:t>
            </w:r>
            <w:r w:rsidR="00112DF6">
              <w:rPr>
                <w:rFonts w:ascii="Arial" w:hAnsi="Arial" w:cs="Arial"/>
                <w:sz w:val="18"/>
                <w:szCs w:val="18"/>
                <w:lang w:val="hr-HR"/>
              </w:rPr>
              <w:t>u skladu sa Tarifom naknada u poslovanju sa fizičkim licima.</w:t>
            </w:r>
          </w:p>
          <w:p w14:paraId="328FE5F1" w14:textId="77777777" w:rsidR="00516913" w:rsidRPr="007508F3" w:rsidRDefault="00516913" w:rsidP="005169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52A12183" w14:textId="2B4221A4" w:rsidR="00516913" w:rsidRPr="007508F3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508F3">
              <w:rPr>
                <w:rFonts w:ascii="Arial" w:hAnsi="Arial" w:cs="Arial"/>
                <w:bCs/>
                <w:iCs/>
                <w:sz w:val="18"/>
                <w:szCs w:val="18"/>
              </w:rPr>
              <w:t>Tarife naknada kao svojevrstan cjenovnik dodatnih uslužnih poslova su, promjenjiva kategorija i mijenjaju se s vremena na vrijeme u skladu sa poslovnom politikom Banke.</w:t>
            </w:r>
            <w:r w:rsidRPr="007508F3">
              <w:rPr>
                <w:rFonts w:ascii="Arial" w:hAnsi="Arial" w:cs="Arial"/>
                <w:sz w:val="18"/>
                <w:szCs w:val="18"/>
              </w:rPr>
              <w:t xml:space="preserve"> U slučaju izmjene  Banka će izmijenjenu i dopunjenu Tarifu naknada objaviti u svim svojim poslovnim jedinicama i na interenet stranici Banke 15 (petnaest) dana prije početka primjene izmijenjenih naknada. Smatra se da je </w:t>
            </w:r>
            <w:r w:rsidR="00A64281">
              <w:rPr>
                <w:rFonts w:ascii="Arial" w:hAnsi="Arial" w:cs="Arial"/>
                <w:sz w:val="18"/>
                <w:szCs w:val="18"/>
              </w:rPr>
              <w:t>Korisnik</w:t>
            </w:r>
            <w:r w:rsidRPr="007508F3">
              <w:rPr>
                <w:rFonts w:ascii="Arial" w:hAnsi="Arial" w:cs="Arial"/>
                <w:sz w:val="18"/>
                <w:szCs w:val="18"/>
              </w:rPr>
              <w:t xml:space="preserve"> upoznat sa izmjenama i dopunama Tarife naknada istekom roka od 15 (petnaest) dana od dana njihove objave u poslovnim jedinicama Banke i na internet stranici Banke.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8F3">
              <w:rPr>
                <w:rFonts w:ascii="Arial" w:hAnsi="Arial" w:cs="Arial"/>
                <w:sz w:val="18"/>
                <w:szCs w:val="18"/>
              </w:rPr>
              <w:t xml:space="preserve">Izmijenjena i dopunjena Tarifa naknada primjenjuje se istekom 15 (petnaest) dana od dana objave iste u poslovnim jedinicama i na internet stranici Banke. Tako promijenjena Tarifa će se primjenjivati na zaključeni Ugovor bez obaveze zaključenja aneksa na Ugovor i/ili pribavljanja saglasnosti za primjenu od strane </w:t>
            </w:r>
            <w:r w:rsidR="0098291F">
              <w:rPr>
                <w:rFonts w:ascii="Arial" w:hAnsi="Arial" w:cs="Arial"/>
                <w:sz w:val="18"/>
                <w:szCs w:val="18"/>
              </w:rPr>
              <w:t>Korisnika</w:t>
            </w:r>
            <w:r w:rsidRPr="007508F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8F3">
              <w:rPr>
                <w:rFonts w:ascii="Arial" w:hAnsi="Arial" w:cs="Arial"/>
                <w:sz w:val="18"/>
                <w:szCs w:val="18"/>
              </w:rPr>
              <w:t xml:space="preserve">Važeća Tarifa naknada Vlasniku računa je dostupna  u svakoj poslovnici Banke kao i na internet stranici banke </w:t>
            </w:r>
            <w:hyperlink r:id="rId8" w:history="1">
              <w:r w:rsidRPr="007508F3">
                <w:rPr>
                  <w:rStyle w:val="Hyperlink"/>
                  <w:rFonts w:ascii="Arial" w:hAnsi="Arial" w:cs="Arial"/>
                  <w:sz w:val="18"/>
                  <w:szCs w:val="18"/>
                </w:rPr>
                <w:t>www.pbs.ba</w:t>
              </w:r>
            </w:hyperlink>
            <w:r w:rsidRPr="007508F3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  <w:tr w:rsidR="004D3F19" w:rsidRPr="00A3122F" w14:paraId="28FC50BE" w14:textId="77777777" w:rsidTr="0062683A">
        <w:trPr>
          <w:trHeight w:val="558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022F49D" w14:textId="1D465D87" w:rsidR="004D3F19" w:rsidRDefault="004D3F19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Ukupan iznos troškova koje Klijent treba platiti na reprezentativnom primjeru</w:t>
            </w:r>
            <w:r w:rsidR="00475B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naknada </w:t>
            </w:r>
            <w:r w:rsidR="00A167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korištenjem</w:t>
            </w:r>
            <w:r w:rsidR="00475B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Paket</w:t>
            </w:r>
            <w:r w:rsidR="00A167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="00475B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 bez korištenja Paketa</w:t>
            </w:r>
          </w:p>
          <w:p w14:paraId="5F94A113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F058214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14507C9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AC6373C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80368D0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B4C6312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ED67AB3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80646C8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DC8760F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811CBF6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AFA82DF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FB41F76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2EEB4AD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0015BD0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A5F3659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EDAD0BA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AB80770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8F3043C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AB747F9" w14:textId="77777777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5A0FECB" w14:textId="71E8439E" w:rsidR="007979A8" w:rsidRDefault="007979A8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114" w:type="dxa"/>
              <w:tblBorders>
                <w:top w:val="dotted" w:sz="4" w:space="0" w:color="AEAAAA"/>
                <w:left w:val="dotted" w:sz="4" w:space="0" w:color="AEAAAA"/>
                <w:bottom w:val="dotted" w:sz="4" w:space="0" w:color="AEAAAA"/>
                <w:right w:val="dotted" w:sz="4" w:space="0" w:color="AEAAAA"/>
                <w:insideH w:val="dotted" w:sz="4" w:space="0" w:color="AEAAAA"/>
                <w:insideV w:val="dotted" w:sz="4" w:space="0" w:color="AEAAAA"/>
              </w:tblBorders>
              <w:tblLook w:val="04A0" w:firstRow="1" w:lastRow="0" w:firstColumn="1" w:lastColumn="0" w:noHBand="0" w:noVBand="1"/>
            </w:tblPr>
            <w:tblGrid>
              <w:gridCol w:w="3170"/>
              <w:gridCol w:w="2634"/>
              <w:gridCol w:w="2310"/>
            </w:tblGrid>
            <w:tr w:rsidR="00475BF3" w:rsidRPr="007508F3" w14:paraId="20F99BB1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15570369" w14:textId="10A4B595" w:rsidR="00475BF3" w:rsidRPr="00F672E8" w:rsidRDefault="007979A8" w:rsidP="00475BF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</w:pPr>
                  <w:r w:rsidRPr="00F672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 xml:space="preserve">Proizvodi/usluge unutar paketa 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709235AE" w14:textId="226B6DEE" w:rsidR="00475BF3" w:rsidRPr="00F672E8" w:rsidRDefault="005224FD" w:rsidP="00475BF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</w:pPr>
                  <w:r w:rsidRPr="00F672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>Mjesečne cijene pojedinačnog korištenja proizvoda/usluga</w:t>
                  </w:r>
                  <w:r w:rsidR="00F672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 xml:space="preserve"> izvan Paketa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34223FE2" w14:textId="375AE866" w:rsidR="00475BF3" w:rsidRPr="00F672E8" w:rsidRDefault="005224FD" w:rsidP="00475BF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</w:pPr>
                  <w:r w:rsidRPr="00F672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>Mjesečne cijene pojedinačn</w:t>
                  </w:r>
                  <w:r w:rsidR="00F672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>i</w:t>
                  </w:r>
                  <w:r w:rsidRPr="00F672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>h proizvoda</w:t>
                  </w:r>
                  <w:r w:rsidR="00F672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>/usluga</w:t>
                  </w:r>
                  <w:r w:rsidRPr="00F672E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 xml:space="preserve"> u Paketu</w:t>
                  </w:r>
                </w:p>
              </w:tc>
            </w:tr>
            <w:tr w:rsidR="00475BF3" w:rsidRPr="007508F3" w14:paraId="732945DC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7C1E6341" w14:textId="7236915C" w:rsidR="00475BF3" w:rsidRPr="007508F3" w:rsidRDefault="00475BF3" w:rsidP="00475BF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D85E2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 xml:space="preserve">Mjesečna naknada za vođenje paketa 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03FFCE40" w14:textId="0FA96FE6" w:rsidR="00475BF3" w:rsidRPr="007508F3" w:rsidRDefault="00475BF3" w:rsidP="00475BF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n/a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07982753" w14:textId="23115A9C" w:rsidR="00475BF3" w:rsidRPr="007508F3" w:rsidRDefault="00475BF3" w:rsidP="00475BF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0,30% (KM 3,78)</w:t>
                  </w:r>
                </w:p>
              </w:tc>
            </w:tr>
            <w:tr w:rsidR="005224FD" w:rsidRPr="007508F3" w14:paraId="343EC4E5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  <w:hideMark/>
                </w:tcPr>
                <w:p w14:paraId="42A91279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 xml:space="preserve">Otvaranje računa 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1169F74B" w14:textId="5DD20122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 xml:space="preserve">Bez naknade  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  <w:hideMark/>
                </w:tcPr>
                <w:p w14:paraId="2940C127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 xml:space="preserve">Bez naknade  </w:t>
                  </w:r>
                </w:p>
              </w:tc>
            </w:tr>
            <w:tr w:rsidR="005224FD" w:rsidRPr="007508F3" w14:paraId="66888B44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  <w:hideMark/>
                </w:tcPr>
                <w:p w14:paraId="0DE577E6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Naknada za vođenje tekućeg računa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671442DB" w14:textId="7CBAF0B6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KM 2,50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  <w:hideMark/>
                </w:tcPr>
                <w:p w14:paraId="0F55B835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 xml:space="preserve">Bez naknade  </w:t>
                  </w:r>
                </w:p>
              </w:tc>
            </w:tr>
            <w:tr w:rsidR="005224FD" w:rsidRPr="007508F3" w14:paraId="0A3F8A98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  <w:hideMark/>
                </w:tcPr>
                <w:p w14:paraId="05A6C543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Zatvaranje računa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1F538A85" w14:textId="5C7BCA3D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 xml:space="preserve">Bez naknade  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  <w:hideMark/>
                </w:tcPr>
                <w:p w14:paraId="62F5C97C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5224FD" w:rsidRPr="007508F3" w14:paraId="2B5FC479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6C0E867A" w14:textId="045B49FE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8364F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 xml:space="preserve">Debitna kartica – izdavanje 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42B495F3" w14:textId="7BF091C5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24E975FA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5224FD" w:rsidRPr="007508F3" w14:paraId="736D8140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002F2E7A" w14:textId="2D19A8C0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</w:pPr>
                  <w:r w:rsidRPr="008364F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>Debitna kartica –godišnja članarina</w:t>
                  </w:r>
                  <w:r w:rsidR="007979A8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 xml:space="preserve"> </w:t>
                  </w:r>
                  <w:r w:rsidR="006A6E1B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 xml:space="preserve">10 KM </w:t>
                  </w:r>
                  <w:r w:rsidR="007979A8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>(iskazana na mjesečnom nivou)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2D16C1AF" w14:textId="367FEF56" w:rsidR="005224FD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 xml:space="preserve">KM </w:t>
                  </w:r>
                  <w:r w:rsidR="007979A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0,83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5D11155D" w14:textId="6EA9BA81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5224FD" w:rsidRPr="007508F3" w14:paraId="424D8D5A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670B1C5C" w14:textId="4C46460C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</w:pPr>
                  <w:r w:rsidRPr="008364F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>Debitna kartica –</w:t>
                  </w:r>
                  <w:r w:rsidR="006A6E1B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 xml:space="preserve"> </w:t>
                  </w:r>
                  <w:r w:rsidRPr="008364F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 xml:space="preserve">reizdavanje </w:t>
                  </w:r>
                  <w:r w:rsidR="006A6E1B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>10 KM</w:t>
                  </w:r>
                  <w:r w:rsidR="00073142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 xml:space="preserve"> (iskazana na mjesečnom nivou)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304BEAC3" w14:textId="6A909815" w:rsidR="005224FD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 xml:space="preserve">KM </w:t>
                  </w:r>
                  <w:r w:rsidR="007979A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0,</w:t>
                  </w:r>
                  <w:r w:rsidR="0007314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27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6B79FF8C" w14:textId="524A4332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5224FD" w:rsidRPr="007508F3" w14:paraId="73E6678B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25E24CB2" w14:textId="77777777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8364F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>Slanje izvoda putem emaila ili drugog elektronskog načina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46F07104" w14:textId="7CBDEE32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112C8491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073142" w:rsidRPr="007508F3" w14:paraId="3DFCECB4" w14:textId="77777777" w:rsidTr="00DB6F05">
              <w:trPr>
                <w:trHeight w:val="270"/>
              </w:trPr>
              <w:tc>
                <w:tcPr>
                  <w:tcW w:w="3170" w:type="dxa"/>
                  <w:shd w:val="clear" w:color="auto" w:fill="auto"/>
                </w:tcPr>
                <w:p w14:paraId="2D009CAE" w14:textId="434DF742" w:rsidR="00073142" w:rsidRPr="008364FF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Naknada za korištenje Internet i mobilnog bankarstva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691F3A87" w14:textId="29935472" w:rsidR="00073142" w:rsidRPr="008364FF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KM 2,90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6E1530C5" w14:textId="77777777" w:rsidR="00073142" w:rsidRPr="007508F3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5224FD" w:rsidRPr="007508F3" w14:paraId="46F9DBB2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79725CFF" w14:textId="77777777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8364F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>Promjena PIN-a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2B11880A" w14:textId="794A2E3F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KM 10,00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5A9CA885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5224FD" w:rsidRPr="007508F3" w14:paraId="508DCBAF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069A6C59" w14:textId="77777777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8364F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>Neograničeno plaćanje roba i usluga na POS terminalima u BiH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7A6E0C49" w14:textId="7B2F0097" w:rsidR="005224FD" w:rsidRPr="008364FF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6ADA3771" w14:textId="77777777" w:rsidR="005224FD" w:rsidRPr="007508F3" w:rsidRDefault="005224FD" w:rsidP="005224F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073142" w:rsidRPr="007508F3" w14:paraId="142F2E2F" w14:textId="77777777" w:rsidTr="00F3427B">
              <w:trPr>
                <w:trHeight w:val="270"/>
              </w:trPr>
              <w:tc>
                <w:tcPr>
                  <w:tcW w:w="3170" w:type="dxa"/>
                  <w:shd w:val="clear" w:color="auto" w:fill="auto"/>
                </w:tcPr>
                <w:p w14:paraId="094179E0" w14:textId="1E8BDE5A" w:rsidR="00073142" w:rsidRPr="008364FF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680290">
                    <w:rPr>
                      <w:rFonts w:ascii="Arial" w:hAnsi="Arial" w:cs="Arial"/>
                      <w:sz w:val="16"/>
                      <w:szCs w:val="16"/>
                    </w:rPr>
                    <w:t>Naknada za povećanje prekoračenja na zahtjev klijenta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6ACBC61F" w14:textId="3722E5F8" w:rsidR="00073142" w:rsidRPr="008364FF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KM 10,00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267C9364" w14:textId="77777777" w:rsidR="00073142" w:rsidRPr="007508F3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073142" w:rsidRPr="007508F3" w14:paraId="7DB55CF5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1EE0808E" w14:textId="77777777" w:rsidR="00073142" w:rsidRPr="008364FF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8364FF">
                    <w:rPr>
                      <w:rFonts w:ascii="Arial" w:hAnsi="Arial" w:cs="Arial"/>
                      <w:snapToGrid w:val="0"/>
                      <w:sz w:val="18"/>
                      <w:szCs w:val="18"/>
                      <w:lang w:val="hr-HR"/>
                    </w:rPr>
                    <w:t>10 naloga UPP bezgotovinskih kumulativno do max. 10.000,00 KM mjesečno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710B8628" w14:textId="6D9EE9AF" w:rsidR="00073142" w:rsidRPr="008364FF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KM 22,50 (primjer 10 naloga uz prosječnu cijenu za bezgotovinske GC naloge 2,25KM)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62269880" w14:textId="77777777" w:rsidR="00073142" w:rsidRPr="007508F3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</w:pPr>
                  <w:r w:rsidRPr="007508F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hr-HR"/>
                    </w:rPr>
                    <w:t>Bez naknade</w:t>
                  </w:r>
                </w:p>
              </w:tc>
            </w:tr>
            <w:tr w:rsidR="00073142" w:rsidRPr="007508F3" w14:paraId="04B21C2B" w14:textId="77777777" w:rsidTr="002459CB">
              <w:trPr>
                <w:trHeight w:val="270"/>
              </w:trPr>
              <w:tc>
                <w:tcPr>
                  <w:tcW w:w="3170" w:type="dxa"/>
                  <w:shd w:val="clear" w:color="auto" w:fill="auto"/>
                  <w:vAlign w:val="center"/>
                </w:tcPr>
                <w:p w14:paraId="5236C6AD" w14:textId="43812A30" w:rsidR="00073142" w:rsidRPr="007979A8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napToGrid w:val="0"/>
                      <w:sz w:val="18"/>
                      <w:szCs w:val="18"/>
                      <w:lang w:val="hr-HR"/>
                    </w:rPr>
                  </w:pPr>
                  <w:r w:rsidRPr="007979A8">
                    <w:rPr>
                      <w:rFonts w:ascii="Arial" w:hAnsi="Arial" w:cs="Arial"/>
                      <w:b/>
                      <w:bCs/>
                      <w:snapToGrid w:val="0"/>
                      <w:sz w:val="18"/>
                      <w:szCs w:val="18"/>
                      <w:lang w:val="hr-HR"/>
                    </w:rPr>
                    <w:t>Ukupno za platiti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14:paraId="1A70C71F" w14:textId="63580560" w:rsidR="00073142" w:rsidRPr="007979A8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>KM 49,00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14:paraId="7393B5CB" w14:textId="0286AF7C" w:rsidR="00073142" w:rsidRPr="007979A8" w:rsidRDefault="00073142" w:rsidP="0007314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</w:pPr>
                  <w:r w:rsidRPr="007979A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hr-HR"/>
                    </w:rPr>
                    <w:t>KM 3,78</w:t>
                  </w:r>
                </w:p>
              </w:tc>
            </w:tr>
          </w:tbl>
          <w:p w14:paraId="0C5B6347" w14:textId="77777777" w:rsidR="004D3F19" w:rsidRPr="007508F3" w:rsidRDefault="004D3F19" w:rsidP="00516913">
            <w:pPr>
              <w:widowControl w:val="0"/>
              <w:tabs>
                <w:tab w:val="left" w:pos="0"/>
                <w:tab w:val="left" w:pos="127"/>
              </w:tabs>
              <w:autoSpaceDE w:val="0"/>
              <w:autoSpaceDN w:val="0"/>
              <w:adjustRightInd w:val="0"/>
              <w:spacing w:after="0"/>
              <w:ind w:left="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516913" w:rsidRPr="00A3122F" w14:paraId="2041A7F4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FE2F6E8" w14:textId="05855B0D" w:rsidR="00516913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Raspolaganje  sredstvima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5E5D" w14:textId="52DDD2F4" w:rsidR="00516913" w:rsidRPr="00A3122F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22F">
              <w:rPr>
                <w:rFonts w:ascii="Arial" w:hAnsi="Arial" w:cs="Arial"/>
                <w:sz w:val="18"/>
                <w:szCs w:val="18"/>
              </w:rPr>
              <w:t xml:space="preserve">Sredstvima na računu </w:t>
            </w:r>
            <w:r w:rsidR="00A64281">
              <w:rPr>
                <w:rFonts w:ascii="Arial" w:hAnsi="Arial" w:cs="Arial"/>
                <w:sz w:val="18"/>
                <w:szCs w:val="18"/>
              </w:rPr>
              <w:t>Korisnik</w:t>
            </w:r>
            <w:r w:rsidRPr="00A3122F">
              <w:rPr>
                <w:rFonts w:ascii="Arial" w:hAnsi="Arial" w:cs="Arial"/>
                <w:sz w:val="18"/>
                <w:szCs w:val="18"/>
              </w:rPr>
              <w:t xml:space="preserve"> može raspolagati najviše do visine raspoloživog </w:t>
            </w:r>
            <w:r>
              <w:rPr>
                <w:rFonts w:ascii="Arial" w:hAnsi="Arial" w:cs="Arial"/>
                <w:sz w:val="18"/>
                <w:szCs w:val="18"/>
              </w:rPr>
              <w:t>salda</w:t>
            </w:r>
            <w:r w:rsidRPr="00A3122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0AED911" w14:textId="77777777" w:rsidR="00516913" w:rsidRPr="00A3122F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22F">
              <w:rPr>
                <w:rFonts w:ascii="Arial" w:hAnsi="Arial" w:cs="Arial"/>
                <w:sz w:val="18"/>
                <w:szCs w:val="18"/>
              </w:rPr>
              <w:t>Raspolaganje sredstvima na računu je moguće:</w:t>
            </w:r>
          </w:p>
          <w:p w14:paraId="7ECA65B8" w14:textId="04A3C245" w:rsidR="00516913" w:rsidRPr="00A3122F" w:rsidRDefault="00516913" w:rsidP="00516913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22F">
              <w:rPr>
                <w:rFonts w:ascii="Arial" w:hAnsi="Arial" w:cs="Arial"/>
                <w:sz w:val="18"/>
                <w:szCs w:val="18"/>
              </w:rPr>
              <w:t>isplatom gotovine u domaćoj</w:t>
            </w:r>
            <w:r w:rsidR="007979A8">
              <w:rPr>
                <w:rFonts w:ascii="Arial" w:hAnsi="Arial" w:cs="Arial"/>
                <w:sz w:val="18"/>
                <w:szCs w:val="18"/>
              </w:rPr>
              <w:t xml:space="preserve"> valuti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5AD507C" w14:textId="77777777" w:rsidR="00516913" w:rsidRPr="00A3122F" w:rsidRDefault="00516913" w:rsidP="00516913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plaćanjem </w:t>
            </w:r>
            <w:r w:rsidRPr="00A3122F">
              <w:rPr>
                <w:rFonts w:ascii="Arial" w:hAnsi="Arial" w:cs="Arial"/>
                <w:sz w:val="18"/>
                <w:szCs w:val="18"/>
              </w:rPr>
              <w:t>debitnom  karticom;</w:t>
            </w:r>
          </w:p>
          <w:p w14:paraId="54F57CA3" w14:textId="77777777" w:rsidR="00516913" w:rsidRPr="00A3122F" w:rsidRDefault="00516913" w:rsidP="00516913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isplatom gotovine </w:t>
            </w:r>
            <w:r w:rsidRPr="00A3122F">
              <w:rPr>
                <w:rFonts w:ascii="Arial" w:hAnsi="Arial" w:cs="Arial"/>
                <w:sz w:val="18"/>
                <w:szCs w:val="18"/>
              </w:rPr>
              <w:t>na bankomatima i POS uređajima;</w:t>
            </w:r>
          </w:p>
          <w:p w14:paraId="68BB6004" w14:textId="77777777" w:rsidR="00516913" w:rsidRDefault="00516913" w:rsidP="00516913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22F">
              <w:rPr>
                <w:rFonts w:ascii="Arial" w:hAnsi="Arial" w:cs="Arial"/>
                <w:sz w:val="18"/>
                <w:szCs w:val="18"/>
              </w:rPr>
              <w:t>trajnim nalogom;</w:t>
            </w:r>
          </w:p>
          <w:p w14:paraId="775F5B62" w14:textId="77777777" w:rsidR="00516913" w:rsidRPr="005D437A" w:rsidRDefault="00516913" w:rsidP="00516913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437A">
              <w:rPr>
                <w:rFonts w:ascii="Arial" w:hAnsi="Arial" w:cs="Arial"/>
                <w:sz w:val="18"/>
                <w:szCs w:val="18"/>
              </w:rPr>
              <w:t>elektronskim bankarstvom.</w:t>
            </w:r>
          </w:p>
        </w:tc>
      </w:tr>
      <w:tr w:rsidR="00516913" w:rsidRPr="00A3122F" w14:paraId="36B2E111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1D4FE1B" w14:textId="77777777" w:rsidR="00516913" w:rsidRPr="00CA79A9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7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Postupanje sa </w:t>
            </w:r>
          </w:p>
          <w:p w14:paraId="332509B5" w14:textId="77777777" w:rsidR="00516913" w:rsidRPr="00CA79A9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7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neaktivnim </w:t>
            </w:r>
          </w:p>
          <w:p w14:paraId="2EF22B90" w14:textId="77777777" w:rsidR="00516913" w:rsidRPr="00A777A8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7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računima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FFBE" w14:textId="42A7CAEB" w:rsidR="00516913" w:rsidRPr="00994313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Neaktivni račun je račun na kojem nije bilo aktivnosti od </w:t>
            </w:r>
            <w:r w:rsidR="0098291F">
              <w:rPr>
                <w:rFonts w:ascii="Arial" w:hAnsi="Arial" w:cs="Arial"/>
                <w:bCs/>
                <w:iCs/>
                <w:sz w:val="18"/>
                <w:szCs w:val="18"/>
              </w:rPr>
              <w:t>Korisnika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uklјučujući deponovanje ili povlačenje sredstava sa računa  u periodu od jedne godine od dana poslјednje aktivnosti </w:t>
            </w:r>
            <w:r w:rsidR="0098291F">
              <w:rPr>
                <w:rFonts w:ascii="Arial" w:hAnsi="Arial" w:cs="Arial"/>
                <w:bCs/>
                <w:iCs/>
                <w:sz w:val="18"/>
                <w:szCs w:val="18"/>
              </w:rPr>
              <w:t>Korisnika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a u slučaju oročenih depozita godinu nakon datuma dospijeća. Banka će račun  na kojem nije bilo aktivnosti deponovanja ili povlačenja sredstava s računa, urađenih ili zadanih od strane </w:t>
            </w:r>
            <w:r w:rsidR="0098291F">
              <w:rPr>
                <w:rFonts w:ascii="Arial" w:hAnsi="Arial" w:cs="Arial"/>
                <w:bCs/>
                <w:iCs/>
                <w:sz w:val="18"/>
                <w:szCs w:val="18"/>
              </w:rPr>
              <w:t>Korisnika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 druge ovlaštene osobe u razdoblju od 12 (dvanaest) mjeseci od dana zadnje aktivnosti, izuzev računa koji je u pravnom postupku (naplata prisilnim putem ili blokada), proglasiti neaktivnim. Ne smatraju se aktivnostima deponovanja ili povlačenja sredstava sa računa, aktivnosti Banke na računu (automatski upis kamate, naplate u vezi s računom i sl.) te aktivnosti od strane lica nezavisno od volje </w:t>
            </w:r>
            <w:r w:rsidR="0098291F">
              <w:rPr>
                <w:rFonts w:ascii="Arial" w:hAnsi="Arial" w:cs="Arial"/>
                <w:bCs/>
                <w:iCs/>
                <w:sz w:val="18"/>
                <w:szCs w:val="18"/>
              </w:rPr>
              <w:t>Korisnika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(naplata nadležnih organa ili po sudskoj presudi i sl.). </w:t>
            </w:r>
          </w:p>
          <w:p w14:paraId="4BC8D9FD" w14:textId="3A207F46" w:rsidR="00516913" w:rsidRPr="00994313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 računima koji će postati neaktivni, Banka će obavijestiti klijente putem zvanične web stranice Banke  </w:t>
            </w:r>
            <w:hyperlink r:id="rId9" w:history="1">
              <w:r w:rsidRPr="00994313">
                <w:rPr>
                  <w:rStyle w:val="Hyperlink"/>
                  <w:rFonts w:ascii="Arial" w:hAnsi="Arial" w:cs="Arial"/>
                  <w:bCs/>
                  <w:iCs/>
                  <w:sz w:val="18"/>
                  <w:szCs w:val="18"/>
                </w:rPr>
                <w:t>www.pbs.ba</w:t>
              </w:r>
            </w:hyperlink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.Račun na kojem ima sredstava Banka proglašava neaktivnim i drži ga u tom statusu sve dok na računu ima sredstava ili dok se račun ne aktivira voljom samog </w:t>
            </w:r>
            <w:r w:rsidR="0098291F">
              <w:rPr>
                <w:rFonts w:ascii="Arial" w:hAnsi="Arial" w:cs="Arial"/>
                <w:bCs/>
                <w:iCs/>
                <w:sz w:val="18"/>
                <w:szCs w:val="18"/>
              </w:rPr>
              <w:t>Korisnika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Banka će automatizmom blokirati karticu po neaktivnom računu.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Banka će mjesečno obračunavati i naplaćivati naknadu na teret neaktivnih računa koji imaju zatečeno saldo na računu, a za vođenje računa u skladu sa važećom Tarifom naknada u poslovanju sa fizičkim licima. </w:t>
            </w:r>
          </w:p>
          <w:p w14:paraId="735FA110" w14:textId="0BBF7B79" w:rsidR="00516913" w:rsidRPr="00994313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>Neaktivni račun ponovno se aktivira radnjama klijenta ili po njegovom nalogu, koje imaju za posljedicu deponovanja ili povlačenje sredstava s računa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isključivo na osnovu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dokumentaci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je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neophodn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e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za otvaranje računa koja je propisana važećim zakonskim i podzakonskim aktima, odnosno aktima Banke na dan aktiviranja računa</w:t>
            </w:r>
            <w:r w:rsidRPr="002923E0">
              <w:rPr>
                <w:iCs/>
              </w:rPr>
              <w:t xml:space="preserve"> </w:t>
            </w:r>
            <w:r w:rsidRPr="005D437A"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Pr="005D437A">
              <w:rPr>
                <w:rStyle w:val="cf01"/>
                <w:rFonts w:ascii="Arial" w:hAnsi="Arial" w:cs="Arial"/>
              </w:rPr>
              <w:t>o aktiviranju računa klijentu se može deblokirati postojeća kartica ili izraditi nova.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Ukoliko </w:t>
            </w:r>
            <w:r w:rsidR="00A64281">
              <w:rPr>
                <w:rFonts w:ascii="Arial" w:hAnsi="Arial" w:cs="Arial"/>
                <w:bCs/>
                <w:iCs/>
                <w:sz w:val="18"/>
                <w:szCs w:val="18"/>
              </w:rPr>
              <w:t>Korisnik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prilikom obavljanja transakcije ne dostavi Banci 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potrebnu dokumentaciju Banka će, a do dostave potrebne dokumentacije, onemogućiti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Vlasniku računa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raspolaganje sredstvima sa računa i neće obaviti zahtijevanu transakciju. Ukoliko na neaktivnom računu ne postoje sredstva za naplatu naknade za vođenje neaktivnog računa, Banka će neaktivan račun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 karticu po istom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ugasiti.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ermStart w:id="2118324381" w:edGrp="everyone"/>
            <w:permEnd w:id="2118324381"/>
          </w:p>
        </w:tc>
      </w:tr>
      <w:tr w:rsidR="00516913" w:rsidRPr="00A3122F" w14:paraId="0DD90F4D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7712591" w14:textId="77777777" w:rsidR="00516913" w:rsidRPr="00CA79A9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Notarske usluge</w:t>
            </w: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DDBB" w14:textId="77777777" w:rsidR="00516913" w:rsidRPr="00994313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Korištenje notarskih usluga je moguće u slučaju kada se daju posebne punomoći drugim licima za raspolaganje sredstvima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na računu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Troškovi ovise o  tarifi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notara</w:t>
            </w:r>
            <w:r w:rsidRPr="009943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koji vrši ovjeru ili izdaje dokument.</w:t>
            </w:r>
          </w:p>
        </w:tc>
      </w:tr>
      <w:tr w:rsidR="00516913" w:rsidRPr="00A3122F" w14:paraId="7E1B401E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B2CB192" w14:textId="77777777" w:rsidR="00516913" w:rsidRPr="00D160B2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D160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romjen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</w:p>
          <w:p w14:paraId="5CA51B82" w14:textId="77777777" w:rsidR="00516913" w:rsidRPr="00D160B2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160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podataka</w:t>
            </w:r>
          </w:p>
          <w:p w14:paraId="451D3287" w14:textId="77777777" w:rsidR="00516913" w:rsidRPr="00CA79A9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38E4" w14:textId="63521C4C" w:rsidR="00516913" w:rsidRPr="001506FF" w:rsidRDefault="00A64281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Korisnik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njegov 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zakonski zastupnik, staratelj i opunomoćeno lice o promjeni adrese i drugih 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>ličnih i drugih relevantnih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podataka obavezan je odmah obavijestiti Banku, a najduže u roku od 8 (osam) radnih dana od dana nastale promjene. Sve pisane obavijesti ko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je Banka dostavlja Vlasniku računa, njegovom 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>zakonsk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>om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zastupnik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>, staratelj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 opunomoćeno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>m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lic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>u smatrat će se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va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>ljano dostavljenim ukoliko su poslane na zadnju adresu o kojoj je Banka obaviještena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Korisnik</w:t>
            </w:r>
            <w:r w:rsidR="005169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snosi sve štetne posljedice</w:t>
            </w:r>
            <w:r w:rsidR="00516913" w:rsidRPr="0012033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zbog propuštanja izvršenja obaveze obavještavanja Banke.</w:t>
            </w:r>
          </w:p>
        </w:tc>
      </w:tr>
      <w:tr w:rsidR="00516913" w:rsidRPr="00A3122F" w14:paraId="297C25A2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677AF10" w14:textId="77777777" w:rsidR="00516913" w:rsidRPr="00D160B2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Pravo na prigovor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F5DE" w14:textId="01B50164" w:rsidR="00516913" w:rsidRDefault="00A64281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bs-Latn-BA"/>
              </w:rPr>
              <w:t>Korisnik</w:t>
            </w:r>
            <w:r w:rsidR="00516913" w:rsidRPr="005706B0">
              <w:rPr>
                <w:rFonts w:ascii="Arial" w:hAnsi="Arial" w:cs="Arial"/>
                <w:noProof/>
                <w:sz w:val="18"/>
                <w:szCs w:val="18"/>
                <w:lang w:val="bs-Latn-BA"/>
              </w:rPr>
              <w:t xml:space="preserve"> </w:t>
            </w:r>
            <w:r w:rsidR="00516913" w:rsidRPr="005706B0">
              <w:rPr>
                <w:rFonts w:ascii="Arial" w:hAnsi="Arial" w:cs="Arial"/>
                <w:sz w:val="18"/>
                <w:szCs w:val="18"/>
              </w:rPr>
              <w:t xml:space="preserve">ima pravo na prigovor usmeno ili u pisanoj formi Banci ukoliko smatra da se Banka ne pridržava odredbi zakona, obaveza iz Ugovora, Opštih uslova i dobre poslovne prakse. Ukoliko </w:t>
            </w:r>
            <w:r>
              <w:rPr>
                <w:rFonts w:ascii="Arial" w:hAnsi="Arial" w:cs="Arial"/>
                <w:sz w:val="18"/>
                <w:szCs w:val="18"/>
              </w:rPr>
              <w:t>Korisnik</w:t>
            </w:r>
            <w:r w:rsidR="00516913" w:rsidRPr="005706B0">
              <w:rPr>
                <w:rFonts w:ascii="Arial" w:hAnsi="Arial" w:cs="Arial"/>
                <w:sz w:val="18"/>
                <w:szCs w:val="18"/>
              </w:rPr>
              <w:t xml:space="preserve"> nije zadovoljan odgovorom Banke na usmeni prigovor Banka ga je dužna upoznati da prigovor može podnijeti u </w:t>
            </w:r>
            <w:r w:rsidR="00073142">
              <w:rPr>
                <w:rFonts w:ascii="Arial" w:hAnsi="Arial" w:cs="Arial"/>
                <w:sz w:val="18"/>
                <w:szCs w:val="18"/>
              </w:rPr>
              <w:t>pisanoj</w:t>
            </w:r>
            <w:r w:rsidR="00516913" w:rsidRPr="005706B0">
              <w:rPr>
                <w:rFonts w:ascii="Arial" w:hAnsi="Arial" w:cs="Arial"/>
                <w:sz w:val="18"/>
                <w:szCs w:val="18"/>
              </w:rPr>
              <w:t xml:space="preserve"> formi. Banka je dužna poduzeti sve mjere za rješavanje prigovora u skladu sa zakonom i internim aktima i dostaviti pisani odgovor podnosiocu prigovora najkasnije u roku 30 dana od datuma podnošenja prigovora. </w:t>
            </w:r>
            <w:r>
              <w:rPr>
                <w:rFonts w:ascii="Arial" w:hAnsi="Arial" w:cs="Arial"/>
                <w:sz w:val="18"/>
                <w:szCs w:val="18"/>
              </w:rPr>
              <w:t>Korisnik</w:t>
            </w:r>
            <w:r w:rsidR="00516913" w:rsidRPr="005706B0">
              <w:rPr>
                <w:rFonts w:ascii="Arial" w:hAnsi="Arial" w:cs="Arial"/>
                <w:sz w:val="18"/>
                <w:szCs w:val="18"/>
              </w:rPr>
              <w:t xml:space="preserve"> može pisani prigovor uputiti i Agenciji za bankarstvo F BiH u postupku koji propisuje Agencija za bankarstvo F BiH, ukoliko su za to ostvareni uslovi.</w:t>
            </w:r>
          </w:p>
        </w:tc>
      </w:tr>
      <w:tr w:rsidR="00516913" w:rsidRPr="00A3122F" w14:paraId="7CAC31AA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ABC857B" w14:textId="77777777" w:rsidR="00516913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Pravo k</w:t>
            </w: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orisnika na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besplatnu kopiju nacrta u</w:t>
            </w: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govora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7A0D" w14:textId="18030B75" w:rsidR="00516913" w:rsidRPr="0012033E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050F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U pregovaračkoj fazi </w:t>
            </w:r>
            <w:r w:rsidR="00A64281">
              <w:rPr>
                <w:rFonts w:ascii="Arial" w:hAnsi="Arial" w:cs="Arial"/>
                <w:bCs/>
                <w:iCs/>
                <w:sz w:val="18"/>
                <w:szCs w:val="18"/>
              </w:rPr>
              <w:t>Korisnik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2050F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ima pravo da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na zahtjev </w:t>
            </w:r>
            <w:r w:rsidRPr="002050FE">
              <w:rPr>
                <w:rFonts w:ascii="Arial" w:hAnsi="Arial" w:cs="Arial"/>
                <w:bCs/>
                <w:iCs/>
                <w:sz w:val="18"/>
                <w:szCs w:val="18"/>
              </w:rPr>
              <w:t>dobije besplatnu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kopiju nacrta u</w:t>
            </w:r>
            <w:r w:rsidRPr="002050FE">
              <w:rPr>
                <w:rFonts w:ascii="Arial" w:hAnsi="Arial" w:cs="Arial"/>
                <w:bCs/>
                <w:iCs/>
                <w:sz w:val="18"/>
                <w:szCs w:val="18"/>
              </w:rPr>
              <w:t>govora, izuzev ako Banka ocijeni da ne želi zasnovati odnos sa klijentom u konkretnom pravnom poslu.</w:t>
            </w:r>
            <w:r w:rsidRPr="00A777A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516913" w:rsidRPr="00A3122F" w14:paraId="4BA5031D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4FA4B01" w14:textId="77777777" w:rsidR="00516913" w:rsidRPr="00B4638F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46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Zaštita tajnosti </w:t>
            </w:r>
          </w:p>
          <w:p w14:paraId="411C5621" w14:textId="77777777" w:rsidR="00516913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ličnih podataka</w:t>
            </w:r>
            <w:r w:rsidRPr="00B46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1810" w14:textId="77777777" w:rsidR="00516913" w:rsidRPr="0012033E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Podatke o Vlasniku računa, Banka je dužna čuvati kao poslovnu tajnu, u skladu</w:t>
            </w:r>
            <w:r w:rsidRPr="00B4638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 Zakonom o zaštiti  ličnih </w:t>
            </w:r>
            <w:r w:rsidRPr="00B4638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podataka, izuzev kada je zakonskim i podzakonskim propisima dužna dati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podatke</w:t>
            </w:r>
            <w:r w:rsidRPr="00B4638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nadležnim organima.</w:t>
            </w:r>
          </w:p>
        </w:tc>
      </w:tr>
      <w:tr w:rsidR="00516913" w:rsidRPr="00A3122F" w14:paraId="1D2178E3" w14:textId="77777777" w:rsidTr="0062683A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4755F8E" w14:textId="77777777" w:rsidR="00516913" w:rsidRPr="00B4638F" w:rsidRDefault="00516913" w:rsidP="005169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777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Period važenja podataka</w:t>
            </w:r>
          </w:p>
        </w:tc>
        <w:tc>
          <w:tcPr>
            <w:tcW w:w="4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9343" w14:textId="77777777" w:rsidR="00516913" w:rsidRDefault="00516913" w:rsidP="005169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77A8">
              <w:rPr>
                <w:rFonts w:ascii="Arial" w:hAnsi="Arial" w:cs="Arial"/>
                <w:bCs/>
                <w:iCs/>
                <w:sz w:val="18"/>
                <w:szCs w:val="18"/>
              </w:rPr>
              <w:t>Svi podaci i uslovi navedeni u ovom Informacionom listu važe 15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(petnaest) </w:t>
            </w:r>
            <w:r w:rsidRPr="00A777A8">
              <w:rPr>
                <w:rFonts w:ascii="Arial" w:hAnsi="Arial" w:cs="Arial"/>
                <w:bCs/>
                <w:iCs/>
                <w:sz w:val="18"/>
                <w:szCs w:val="18"/>
              </w:rPr>
              <w:t>dana od datuma preuzimanja Informacionog lista.</w:t>
            </w:r>
          </w:p>
        </w:tc>
      </w:tr>
    </w:tbl>
    <w:p w14:paraId="2B225D30" w14:textId="77777777" w:rsidR="00A1678B" w:rsidRDefault="00A1678B" w:rsidP="00FC7A6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972913" w14:textId="2F7EB63F" w:rsidR="00FC7A65" w:rsidRPr="009C0A5A" w:rsidRDefault="00FC7A65" w:rsidP="00FC7A6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C60D7" wp14:editId="296BEFC6">
                <wp:simplePos x="0" y="0"/>
                <wp:positionH relativeFrom="column">
                  <wp:posOffset>1428750</wp:posOffset>
                </wp:positionH>
                <wp:positionV relativeFrom="paragraph">
                  <wp:posOffset>125095</wp:posOffset>
                </wp:positionV>
                <wp:extent cx="2355850" cy="635"/>
                <wp:effectExtent l="0" t="0" r="25400" b="37465"/>
                <wp:wrapNone/>
                <wp:docPr id="349354440" name="Straight Arrow Connector 349354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4C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9354440" o:spid="_x0000_s1026" type="#_x0000_t32" style="position:absolute;margin-left:112.5pt;margin-top:9.85pt;width:185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" strokeweight=".25pt">
                <v:shadow color="#868686"/>
              </v:shape>
            </w:pict>
          </mc:Fallback>
        </mc:AlternateContent>
      </w:r>
      <w:r w:rsidRPr="009C0A5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nformacioni list izdao/la:         </w:t>
      </w:r>
      <w:permStart w:id="640357234" w:edGrp="everyone"/>
      <w:r>
        <w:rPr>
          <w:rFonts w:ascii="Arial" w:hAnsi="Arial" w:cs="Arial"/>
          <w:sz w:val="18"/>
          <w:szCs w:val="18"/>
        </w:rPr>
        <w:t>ime i prezime</w:t>
      </w:r>
      <w:permEnd w:id="640357234"/>
      <w:r>
        <w:rPr>
          <w:rFonts w:ascii="Arial" w:hAnsi="Arial" w:cs="Arial"/>
          <w:sz w:val="18"/>
          <w:szCs w:val="18"/>
        </w:rPr>
        <w:t xml:space="preserve">, </w:t>
      </w:r>
      <w:permStart w:id="82409042" w:edGrp="everyone"/>
      <w:r w:rsidRPr="0013641B">
        <w:rPr>
          <w:rFonts w:ascii="Arial" w:hAnsi="Arial" w:cs="Arial"/>
          <w:sz w:val="18"/>
          <w:szCs w:val="18"/>
        </w:rPr>
        <w:t>naziv radnog mjesta</w:t>
      </w:r>
      <w:permEnd w:id="82409042"/>
    </w:p>
    <w:p w14:paraId="690FB08A" w14:textId="77777777" w:rsidR="00FC7A65" w:rsidRPr="009C0A5A" w:rsidRDefault="00FC7A65" w:rsidP="00FC7A65">
      <w:pPr>
        <w:spacing w:after="0"/>
        <w:rPr>
          <w:rFonts w:ascii="Arial" w:hAnsi="Arial" w:cs="Arial"/>
          <w:sz w:val="18"/>
          <w:szCs w:val="18"/>
        </w:rPr>
      </w:pPr>
      <w:r w:rsidRPr="009C0A5A">
        <w:rPr>
          <w:rFonts w:ascii="Arial" w:hAnsi="Arial" w:cs="Arial"/>
          <w:sz w:val="18"/>
          <w:szCs w:val="18"/>
        </w:rPr>
        <w:t xml:space="preserve">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9C0A5A">
        <w:rPr>
          <w:rFonts w:ascii="Arial" w:hAnsi="Arial" w:cs="Arial"/>
          <w:sz w:val="18"/>
          <w:szCs w:val="18"/>
        </w:rPr>
        <w:t>(pečat i potpis ovlaštene osobe)</w:t>
      </w:r>
    </w:p>
    <w:p w14:paraId="57E6E0DD" w14:textId="77777777" w:rsidR="00FC7A65" w:rsidRPr="009C0A5A" w:rsidRDefault="00FC7A65" w:rsidP="00FC7A65">
      <w:pPr>
        <w:spacing w:after="0"/>
        <w:rPr>
          <w:rFonts w:ascii="Arial" w:hAnsi="Arial" w:cs="Arial"/>
          <w:sz w:val="18"/>
          <w:szCs w:val="18"/>
        </w:rPr>
      </w:pPr>
    </w:p>
    <w:p w14:paraId="4F4D556D" w14:textId="77777777" w:rsidR="00FC7A65" w:rsidRPr="009C0A5A" w:rsidRDefault="00FC7A65" w:rsidP="00FC7A65">
      <w:pPr>
        <w:tabs>
          <w:tab w:val="left" w:pos="3840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CDA4656" wp14:editId="4CC92F0D">
                <wp:simplePos x="0" y="0"/>
                <wp:positionH relativeFrom="column">
                  <wp:posOffset>1437005</wp:posOffset>
                </wp:positionH>
                <wp:positionV relativeFrom="paragraph">
                  <wp:posOffset>138429</wp:posOffset>
                </wp:positionV>
                <wp:extent cx="2355850" cy="0"/>
                <wp:effectExtent l="0" t="0" r="0" b="0"/>
                <wp:wrapNone/>
                <wp:docPr id="1435861423" name="Straight Arrow Connector 143586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C0C7" id="Straight Arrow Connector 1435861423" o:spid="_x0000_s1026" type="#_x0000_t32" style="position:absolute;margin-left:113.15pt;margin-top:10.9pt;width:185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Informacioni list preuzeo/la:     </w:t>
      </w:r>
      <w:permStart w:id="1507660649" w:edGrp="everyone"/>
      <w:r>
        <w:rPr>
          <w:rFonts w:ascii="Arial" w:hAnsi="Arial" w:cs="Arial"/>
          <w:sz w:val="18"/>
          <w:szCs w:val="18"/>
        </w:rPr>
        <w:t>ime i prezime</w:t>
      </w:r>
      <w:permEnd w:id="1507660649"/>
    </w:p>
    <w:p w14:paraId="64D319F3" w14:textId="77777777" w:rsidR="00FC7A65" w:rsidRPr="009C0A5A" w:rsidRDefault="00FC7A65" w:rsidP="00FC7A65">
      <w:pPr>
        <w:spacing w:after="0"/>
        <w:rPr>
          <w:rFonts w:ascii="Arial" w:hAnsi="Arial" w:cs="Arial"/>
          <w:sz w:val="18"/>
          <w:szCs w:val="18"/>
        </w:rPr>
      </w:pPr>
      <w:r w:rsidRPr="009C0A5A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9C0A5A">
        <w:rPr>
          <w:rFonts w:ascii="Arial" w:hAnsi="Arial" w:cs="Arial"/>
          <w:sz w:val="18"/>
          <w:szCs w:val="18"/>
        </w:rPr>
        <w:t>(potpis klijenta)</w:t>
      </w:r>
    </w:p>
    <w:p w14:paraId="224FD78B" w14:textId="77777777" w:rsidR="00FC7A65" w:rsidRPr="00370DB4" w:rsidRDefault="00FC7A65" w:rsidP="00FC7A6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C0CA212" w14:textId="77777777" w:rsidR="00FC7A65" w:rsidRPr="00B03163" w:rsidRDefault="00FC7A65" w:rsidP="00FC7A65">
      <w:pPr>
        <w:rPr>
          <w:rFonts w:ascii="Arial" w:hAnsi="Arial" w:cs="Arial"/>
          <w:sz w:val="18"/>
          <w:szCs w:val="18"/>
        </w:rPr>
      </w:pPr>
      <w:permStart w:id="1287144367" w:edGrp="everyone"/>
      <w:r>
        <w:rPr>
          <w:rFonts w:ascii="Arial" w:hAnsi="Arial" w:cs="Arial"/>
          <w:sz w:val="18"/>
          <w:szCs w:val="18"/>
        </w:rPr>
        <w:t>Mjesto</w:t>
      </w:r>
      <w:permEnd w:id="1287144367"/>
      <w:r>
        <w:rPr>
          <w:rFonts w:ascii="Arial" w:hAnsi="Arial" w:cs="Arial"/>
          <w:sz w:val="18"/>
          <w:szCs w:val="18"/>
        </w:rPr>
        <w:t xml:space="preserve">, </w:t>
      </w:r>
      <w:permStart w:id="2029615141" w:edGrp="everyone"/>
      <w:r>
        <w:rPr>
          <w:rFonts w:ascii="Arial" w:hAnsi="Arial" w:cs="Arial"/>
          <w:sz w:val="18"/>
          <w:szCs w:val="18"/>
        </w:rPr>
        <w:t>datum</w:t>
      </w:r>
      <w:permEnd w:id="2029615141"/>
      <w:r>
        <w:rPr>
          <w:rFonts w:ascii="Arial" w:hAnsi="Arial" w:cs="Arial"/>
          <w:sz w:val="18"/>
          <w:szCs w:val="18"/>
        </w:rPr>
        <w:t xml:space="preserve"> godine</w:t>
      </w:r>
    </w:p>
    <w:p w14:paraId="3BB27DAE" w14:textId="77777777" w:rsidR="00FC7A65" w:rsidRDefault="00FC7A65" w:rsidP="00FC7A65"/>
    <w:p w14:paraId="43DCE302" w14:textId="77777777" w:rsidR="00F8716B" w:rsidRDefault="00F8716B"/>
    <w:sectPr w:rsidR="00F8716B" w:rsidSect="00582794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E1623" w14:textId="77777777" w:rsidR="009C3C88" w:rsidRDefault="009C3C88" w:rsidP="00591A06">
      <w:pPr>
        <w:spacing w:after="0" w:line="240" w:lineRule="auto"/>
      </w:pPr>
      <w:r>
        <w:separator/>
      </w:r>
    </w:p>
  </w:endnote>
  <w:endnote w:type="continuationSeparator" w:id="0">
    <w:p w14:paraId="3B5B3DA7" w14:textId="77777777" w:rsidR="009C3C88" w:rsidRDefault="009C3C88" w:rsidP="0059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3FE4" w14:textId="633D767B" w:rsidR="00582794" w:rsidRPr="004D63DD" w:rsidRDefault="007677FF">
    <w:pPr>
      <w:pStyle w:val="Footer"/>
      <w:rPr>
        <w:rFonts w:ascii="Arial" w:hAnsi="Arial" w:cs="Arial"/>
        <w:sz w:val="18"/>
        <w:szCs w:val="18"/>
      </w:rPr>
    </w:pPr>
    <w:r w:rsidRPr="007677FF">
      <w:rPr>
        <w:rFonts w:ascii="Arial" w:hAnsi="Arial" w:cs="Arial"/>
        <w:sz w:val="18"/>
        <w:szCs w:val="18"/>
      </w:rPr>
      <w:t xml:space="preserve">Ver </w:t>
    </w:r>
    <w:r w:rsidR="00BE7026">
      <w:rPr>
        <w:rFonts w:ascii="Arial" w:hAnsi="Arial" w:cs="Arial"/>
        <w:sz w:val="18"/>
        <w:szCs w:val="18"/>
      </w:rPr>
      <w:t>12</w:t>
    </w:r>
    <w:r w:rsidR="005A6C12">
      <w:rPr>
        <w:rFonts w:ascii="Arial" w:hAnsi="Arial" w:cs="Arial"/>
        <w:sz w:val="18"/>
        <w:szCs w:val="18"/>
      </w:rPr>
      <w:t>24</w:t>
    </w:r>
    <w:r w:rsidR="00582794" w:rsidRPr="007677FF">
      <w:rPr>
        <w:rFonts w:ascii="Arial" w:hAnsi="Arial" w:cs="Arial"/>
        <w:sz w:val="18"/>
        <w:szCs w:val="18"/>
      </w:rPr>
      <w:ptab w:relativeTo="margin" w:alignment="center" w:leader="none"/>
    </w:r>
    <w:r w:rsidR="00582794">
      <w:ptab w:relativeTo="margin" w:alignment="right" w:leader="none"/>
    </w:r>
    <w:r w:rsidR="00582794" w:rsidRPr="00582794">
      <w:rPr>
        <w:rFonts w:ascii="Arial" w:hAnsi="Arial" w:cs="Arial"/>
        <w:b/>
        <w:bCs/>
        <w:sz w:val="18"/>
        <w:szCs w:val="18"/>
      </w:rPr>
      <w:fldChar w:fldCharType="begin"/>
    </w:r>
    <w:r w:rsidR="00582794" w:rsidRPr="00582794">
      <w:rPr>
        <w:rFonts w:ascii="Arial" w:hAnsi="Arial" w:cs="Arial"/>
        <w:b/>
        <w:bCs/>
        <w:sz w:val="18"/>
        <w:szCs w:val="18"/>
      </w:rPr>
      <w:instrText xml:space="preserve"> PAGE </w:instrText>
    </w:r>
    <w:r w:rsidR="00582794" w:rsidRPr="00582794">
      <w:rPr>
        <w:rFonts w:ascii="Arial" w:hAnsi="Arial" w:cs="Arial"/>
        <w:b/>
        <w:bCs/>
        <w:sz w:val="18"/>
        <w:szCs w:val="18"/>
      </w:rPr>
      <w:fldChar w:fldCharType="separate"/>
    </w:r>
    <w:r w:rsidR="00582794">
      <w:rPr>
        <w:rFonts w:ascii="Arial" w:hAnsi="Arial" w:cs="Arial"/>
        <w:b/>
        <w:bCs/>
        <w:sz w:val="18"/>
        <w:szCs w:val="18"/>
      </w:rPr>
      <w:t>1</w:t>
    </w:r>
    <w:r w:rsidR="00582794" w:rsidRPr="00582794">
      <w:rPr>
        <w:rFonts w:ascii="Arial" w:hAnsi="Arial" w:cs="Arial"/>
        <w:b/>
        <w:bCs/>
        <w:sz w:val="18"/>
        <w:szCs w:val="18"/>
      </w:rPr>
      <w:fldChar w:fldCharType="end"/>
    </w:r>
    <w:r w:rsidR="00582794" w:rsidRPr="00582794">
      <w:rPr>
        <w:rFonts w:ascii="Arial" w:hAnsi="Arial" w:cs="Arial"/>
        <w:sz w:val="18"/>
        <w:szCs w:val="18"/>
      </w:rPr>
      <w:t xml:space="preserve"> </w:t>
    </w:r>
    <w:r w:rsidR="00582794">
      <w:rPr>
        <w:rFonts w:ascii="Arial" w:hAnsi="Arial" w:cs="Arial"/>
        <w:sz w:val="18"/>
        <w:szCs w:val="18"/>
      </w:rPr>
      <w:t>/</w:t>
    </w:r>
    <w:r w:rsidR="00582794" w:rsidRPr="00582794">
      <w:rPr>
        <w:rFonts w:ascii="Arial" w:hAnsi="Arial" w:cs="Arial"/>
        <w:sz w:val="18"/>
        <w:szCs w:val="18"/>
      </w:rPr>
      <w:t xml:space="preserve"> </w:t>
    </w:r>
    <w:r w:rsidR="00582794" w:rsidRPr="00582794">
      <w:rPr>
        <w:rFonts w:ascii="Arial" w:hAnsi="Arial" w:cs="Arial"/>
        <w:b/>
        <w:bCs/>
        <w:sz w:val="18"/>
        <w:szCs w:val="18"/>
      </w:rPr>
      <w:fldChar w:fldCharType="begin"/>
    </w:r>
    <w:r w:rsidR="00582794" w:rsidRPr="00582794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582794" w:rsidRPr="00582794">
      <w:rPr>
        <w:rFonts w:ascii="Arial" w:hAnsi="Arial" w:cs="Arial"/>
        <w:b/>
        <w:bCs/>
        <w:sz w:val="18"/>
        <w:szCs w:val="18"/>
      </w:rPr>
      <w:fldChar w:fldCharType="separate"/>
    </w:r>
    <w:r w:rsidR="00582794">
      <w:rPr>
        <w:rFonts w:ascii="Arial" w:hAnsi="Arial" w:cs="Arial"/>
        <w:b/>
        <w:bCs/>
        <w:sz w:val="18"/>
        <w:szCs w:val="18"/>
      </w:rPr>
      <w:t>4</w:t>
    </w:r>
    <w:r w:rsidR="00582794" w:rsidRPr="00582794">
      <w:rPr>
        <w:rFonts w:ascii="Arial" w:hAnsi="Arial" w:cs="Arial"/>
        <w:b/>
        <w:bCs/>
        <w:sz w:val="18"/>
        <w:szCs w:val="18"/>
      </w:rPr>
      <w:fldChar w:fldCharType="end"/>
    </w:r>
  </w:p>
  <w:p w14:paraId="63BD74D1" w14:textId="77777777" w:rsidR="007C2A02" w:rsidRDefault="007C2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2A4F" w14:textId="6EA39AA5" w:rsidR="007677FF" w:rsidRDefault="007677FF" w:rsidP="007677FF">
    <w:pPr>
      <w:pStyle w:val="Footer"/>
    </w:pPr>
    <w:r w:rsidRPr="007677FF">
      <w:rPr>
        <w:rFonts w:ascii="Arial" w:hAnsi="Arial" w:cs="Arial"/>
        <w:sz w:val="18"/>
        <w:szCs w:val="18"/>
      </w:rPr>
      <w:t xml:space="preserve">Ver </w:t>
    </w:r>
    <w:r w:rsidR="005A6C12">
      <w:rPr>
        <w:rFonts w:ascii="Arial" w:hAnsi="Arial" w:cs="Arial"/>
        <w:sz w:val="18"/>
        <w:szCs w:val="18"/>
      </w:rPr>
      <w:t>0824</w:t>
    </w:r>
    <w:r w:rsidRPr="007677FF">
      <w:rPr>
        <w:rFonts w:ascii="Arial" w:hAnsi="Arial" w:cs="Arial"/>
        <w:sz w:val="18"/>
        <w:szCs w:val="18"/>
      </w:rPr>
      <w:ptab w:relativeTo="margin" w:alignment="center" w:leader="none"/>
    </w:r>
    <w:r>
      <w:ptab w:relativeTo="margin" w:alignment="right" w:leader="none"/>
    </w:r>
    <w:r w:rsidRPr="00582794">
      <w:rPr>
        <w:rFonts w:ascii="Arial" w:hAnsi="Arial" w:cs="Arial"/>
        <w:b/>
        <w:bCs/>
        <w:sz w:val="18"/>
        <w:szCs w:val="18"/>
      </w:rPr>
      <w:fldChar w:fldCharType="begin"/>
    </w:r>
    <w:r w:rsidRPr="0058279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58279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582794">
      <w:rPr>
        <w:rFonts w:ascii="Arial" w:hAnsi="Arial" w:cs="Arial"/>
        <w:b/>
        <w:bCs/>
        <w:sz w:val="18"/>
        <w:szCs w:val="18"/>
      </w:rPr>
      <w:fldChar w:fldCharType="end"/>
    </w:r>
    <w:r w:rsidRPr="0058279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Pr="00582794">
      <w:rPr>
        <w:rFonts w:ascii="Arial" w:hAnsi="Arial" w:cs="Arial"/>
        <w:sz w:val="18"/>
        <w:szCs w:val="18"/>
      </w:rPr>
      <w:t xml:space="preserve"> </w:t>
    </w:r>
    <w:r w:rsidRPr="00582794">
      <w:rPr>
        <w:rFonts w:ascii="Arial" w:hAnsi="Arial" w:cs="Arial"/>
        <w:b/>
        <w:bCs/>
        <w:sz w:val="18"/>
        <w:szCs w:val="18"/>
      </w:rPr>
      <w:fldChar w:fldCharType="begin"/>
    </w:r>
    <w:r w:rsidRPr="00582794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58279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4</w:t>
    </w:r>
    <w:r w:rsidRPr="00582794">
      <w:rPr>
        <w:rFonts w:ascii="Arial" w:hAnsi="Arial" w:cs="Arial"/>
        <w:b/>
        <w:bCs/>
        <w:sz w:val="18"/>
        <w:szCs w:val="18"/>
      </w:rPr>
      <w:fldChar w:fldCharType="end"/>
    </w:r>
  </w:p>
  <w:p w14:paraId="7DD37DE6" w14:textId="77777777" w:rsidR="00582794" w:rsidRPr="007677FF" w:rsidRDefault="00582794" w:rsidP="0076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1603" w14:textId="77777777" w:rsidR="009C3C88" w:rsidRDefault="009C3C88" w:rsidP="00591A06">
      <w:pPr>
        <w:spacing w:after="0" w:line="240" w:lineRule="auto"/>
      </w:pPr>
      <w:r>
        <w:separator/>
      </w:r>
    </w:p>
  </w:footnote>
  <w:footnote w:type="continuationSeparator" w:id="0">
    <w:p w14:paraId="66FC273D" w14:textId="77777777" w:rsidR="009C3C88" w:rsidRDefault="009C3C88" w:rsidP="00591A06">
      <w:pPr>
        <w:spacing w:after="0" w:line="240" w:lineRule="auto"/>
      </w:pPr>
      <w:r>
        <w:continuationSeparator/>
      </w:r>
    </w:p>
  </w:footnote>
  <w:footnote w:id="1">
    <w:p w14:paraId="319EBDF7" w14:textId="38C69AEF" w:rsidR="006A6E1B" w:rsidRPr="006A6E1B" w:rsidRDefault="006A6E1B">
      <w:pPr>
        <w:pStyle w:val="FootnoteText"/>
        <w:rPr>
          <w:rFonts w:ascii="Arial" w:hAnsi="Arial" w:cs="Arial"/>
          <w:sz w:val="18"/>
          <w:szCs w:val="18"/>
        </w:rPr>
      </w:pPr>
      <w:r w:rsidRPr="006A6E1B">
        <w:rPr>
          <w:rStyle w:val="FootnoteReference"/>
          <w:rFonts w:ascii="Arial" w:hAnsi="Arial" w:cs="Arial"/>
          <w:sz w:val="18"/>
          <w:szCs w:val="18"/>
        </w:rPr>
        <w:footnoteRef/>
      </w:r>
      <w:r w:rsidRPr="006A6E1B">
        <w:rPr>
          <w:rFonts w:ascii="Arial" w:hAnsi="Arial" w:cs="Arial"/>
          <w:sz w:val="18"/>
          <w:szCs w:val="18"/>
        </w:rPr>
        <w:t xml:space="preserve"> Ne podrazumijeva osnovni račun propisan Zakonom o unutrašnjem platnom prometu F BiH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ADBA6" w14:textId="77777777" w:rsidR="00582794" w:rsidRDefault="00582794">
    <w:pPr>
      <w:pStyle w:val="Header"/>
    </w:pPr>
    <w:r w:rsidRPr="00366966">
      <w:rPr>
        <w:noProof/>
      </w:rPr>
      <w:drawing>
        <wp:inline distT="0" distB="0" distL="0" distR="0" wp14:anchorId="7D00C770" wp14:editId="21F00C19">
          <wp:extent cx="3230880" cy="652145"/>
          <wp:effectExtent l="0" t="0" r="762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8"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D7076"/>
    <w:multiLevelType w:val="hybridMultilevel"/>
    <w:tmpl w:val="730C1B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77CA"/>
    <w:multiLevelType w:val="hybridMultilevel"/>
    <w:tmpl w:val="3D36B1F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6230">
    <w:abstractNumId w:val="1"/>
  </w:num>
  <w:num w:numId="2" w16cid:durableId="8423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64"/>
    <w:rsid w:val="0000191D"/>
    <w:rsid w:val="00003A49"/>
    <w:rsid w:val="000052D2"/>
    <w:rsid w:val="0002158D"/>
    <w:rsid w:val="00073142"/>
    <w:rsid w:val="00081D23"/>
    <w:rsid w:val="000A3EEE"/>
    <w:rsid w:val="000B2FF1"/>
    <w:rsid w:val="00102726"/>
    <w:rsid w:val="00112DF6"/>
    <w:rsid w:val="00184424"/>
    <w:rsid w:val="00187312"/>
    <w:rsid w:val="00192240"/>
    <w:rsid w:val="001A38B5"/>
    <w:rsid w:val="001A4B75"/>
    <w:rsid w:val="001B58E9"/>
    <w:rsid w:val="001D70C7"/>
    <w:rsid w:val="0020129A"/>
    <w:rsid w:val="00206690"/>
    <w:rsid w:val="00207EC2"/>
    <w:rsid w:val="00210910"/>
    <w:rsid w:val="0021750D"/>
    <w:rsid w:val="00222573"/>
    <w:rsid w:val="002459CB"/>
    <w:rsid w:val="002528C1"/>
    <w:rsid w:val="00273C89"/>
    <w:rsid w:val="00295F9B"/>
    <w:rsid w:val="002B1207"/>
    <w:rsid w:val="002C2CA9"/>
    <w:rsid w:val="002C3561"/>
    <w:rsid w:val="002F2FE4"/>
    <w:rsid w:val="00304B2D"/>
    <w:rsid w:val="0033112E"/>
    <w:rsid w:val="00364F9A"/>
    <w:rsid w:val="003A073B"/>
    <w:rsid w:val="003D0BAD"/>
    <w:rsid w:val="003E2CB6"/>
    <w:rsid w:val="003E70A4"/>
    <w:rsid w:val="003F5013"/>
    <w:rsid w:val="00444B68"/>
    <w:rsid w:val="00473AFB"/>
    <w:rsid w:val="00475BF3"/>
    <w:rsid w:val="00486A5F"/>
    <w:rsid w:val="004873BE"/>
    <w:rsid w:val="004B3F06"/>
    <w:rsid w:val="004C40EA"/>
    <w:rsid w:val="004D3F19"/>
    <w:rsid w:val="004D63DD"/>
    <w:rsid w:val="00516913"/>
    <w:rsid w:val="005224FD"/>
    <w:rsid w:val="00523B07"/>
    <w:rsid w:val="00527106"/>
    <w:rsid w:val="00551A22"/>
    <w:rsid w:val="00552791"/>
    <w:rsid w:val="005610AD"/>
    <w:rsid w:val="0057007E"/>
    <w:rsid w:val="00581332"/>
    <w:rsid w:val="005823BD"/>
    <w:rsid w:val="00582794"/>
    <w:rsid w:val="00591A06"/>
    <w:rsid w:val="005A159B"/>
    <w:rsid w:val="005A2F50"/>
    <w:rsid w:val="005A6C12"/>
    <w:rsid w:val="005C4793"/>
    <w:rsid w:val="005D1F78"/>
    <w:rsid w:val="005D29C1"/>
    <w:rsid w:val="0062683A"/>
    <w:rsid w:val="006379BE"/>
    <w:rsid w:val="00691B5B"/>
    <w:rsid w:val="00691F03"/>
    <w:rsid w:val="006A6E1B"/>
    <w:rsid w:val="00705162"/>
    <w:rsid w:val="00705DCF"/>
    <w:rsid w:val="00710107"/>
    <w:rsid w:val="00717423"/>
    <w:rsid w:val="00734951"/>
    <w:rsid w:val="007508F3"/>
    <w:rsid w:val="0075095E"/>
    <w:rsid w:val="00765B68"/>
    <w:rsid w:val="007677FF"/>
    <w:rsid w:val="007979A8"/>
    <w:rsid w:val="007B14B4"/>
    <w:rsid w:val="007C2A02"/>
    <w:rsid w:val="007C5B47"/>
    <w:rsid w:val="008022B9"/>
    <w:rsid w:val="00832337"/>
    <w:rsid w:val="008364FF"/>
    <w:rsid w:val="00854751"/>
    <w:rsid w:val="008A1F14"/>
    <w:rsid w:val="008B6842"/>
    <w:rsid w:val="008C1E41"/>
    <w:rsid w:val="008C73ED"/>
    <w:rsid w:val="008E05C9"/>
    <w:rsid w:val="008F22D3"/>
    <w:rsid w:val="00953103"/>
    <w:rsid w:val="0098291F"/>
    <w:rsid w:val="009940BE"/>
    <w:rsid w:val="00994313"/>
    <w:rsid w:val="009A0726"/>
    <w:rsid w:val="009C11F4"/>
    <w:rsid w:val="009C3C88"/>
    <w:rsid w:val="009F3FBC"/>
    <w:rsid w:val="00A07DC2"/>
    <w:rsid w:val="00A1678B"/>
    <w:rsid w:val="00A33E1C"/>
    <w:rsid w:val="00A640B0"/>
    <w:rsid w:val="00A64281"/>
    <w:rsid w:val="00A66804"/>
    <w:rsid w:val="00AA10CE"/>
    <w:rsid w:val="00AD7A8F"/>
    <w:rsid w:val="00AE2E62"/>
    <w:rsid w:val="00B25033"/>
    <w:rsid w:val="00B46F4C"/>
    <w:rsid w:val="00B51556"/>
    <w:rsid w:val="00B72DB7"/>
    <w:rsid w:val="00BE7026"/>
    <w:rsid w:val="00C03AB8"/>
    <w:rsid w:val="00C31F95"/>
    <w:rsid w:val="00C35DEF"/>
    <w:rsid w:val="00C535C6"/>
    <w:rsid w:val="00C55C88"/>
    <w:rsid w:val="00CB07D6"/>
    <w:rsid w:val="00CC6D5F"/>
    <w:rsid w:val="00CE5C2B"/>
    <w:rsid w:val="00D02765"/>
    <w:rsid w:val="00D055C4"/>
    <w:rsid w:val="00D21C5F"/>
    <w:rsid w:val="00D401BA"/>
    <w:rsid w:val="00D70A25"/>
    <w:rsid w:val="00D85E2C"/>
    <w:rsid w:val="00D9596C"/>
    <w:rsid w:val="00DC4A7E"/>
    <w:rsid w:val="00DD70D6"/>
    <w:rsid w:val="00DF01DD"/>
    <w:rsid w:val="00E059D4"/>
    <w:rsid w:val="00E21D9F"/>
    <w:rsid w:val="00E22427"/>
    <w:rsid w:val="00E873F6"/>
    <w:rsid w:val="00EA02DA"/>
    <w:rsid w:val="00EA25A6"/>
    <w:rsid w:val="00EF3754"/>
    <w:rsid w:val="00F25CCF"/>
    <w:rsid w:val="00F62020"/>
    <w:rsid w:val="00F672E8"/>
    <w:rsid w:val="00F772C0"/>
    <w:rsid w:val="00F8716B"/>
    <w:rsid w:val="00FC7A65"/>
    <w:rsid w:val="00FD1B64"/>
    <w:rsid w:val="00FD3CED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FC93A"/>
  <w15:chartTrackingRefBased/>
  <w15:docId w15:val="{0E329086-EA27-4C6F-A103-72F4AE9A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06"/>
    <w:pPr>
      <w:spacing w:after="200" w:line="276" w:lineRule="auto"/>
    </w:pPr>
    <w:rPr>
      <w:rFonts w:ascii="Calibri" w:eastAsia="Times New Roman" w:hAnsi="Calibri" w:cs="Times New Roman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A06"/>
    <w:pPr>
      <w:ind w:left="720"/>
      <w:contextualSpacing/>
    </w:pPr>
  </w:style>
  <w:style w:type="paragraph" w:customStyle="1" w:styleId="tekst">
    <w:name w:val="tekst"/>
    <w:basedOn w:val="BodyText"/>
    <w:rsid w:val="00591A06"/>
    <w:pPr>
      <w:shd w:val="clear" w:color="auto" w:fill="FFFFFF"/>
      <w:autoSpaceDE w:val="0"/>
      <w:autoSpaceDN w:val="0"/>
      <w:adjustRightInd w:val="0"/>
      <w:spacing w:after="0" w:line="300" w:lineRule="exact"/>
      <w:jc w:val="both"/>
    </w:pPr>
    <w:rPr>
      <w:rFonts w:ascii="Arial" w:hAnsi="Arial" w:cs="Arial"/>
      <w:color w:val="000000"/>
      <w:lang w:val="hr-HR" w:eastAsia="en-US"/>
    </w:rPr>
  </w:style>
  <w:style w:type="character" w:styleId="Hyperlink">
    <w:name w:val="Hyperlink"/>
    <w:uiPriority w:val="99"/>
    <w:unhideWhenUsed/>
    <w:rsid w:val="00591A06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91A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A06"/>
    <w:rPr>
      <w:rFonts w:ascii="Calibri" w:eastAsia="Times New Roman" w:hAnsi="Calibri" w:cs="Times New Roman"/>
      <w:lang w:eastAsia="hr-BA"/>
    </w:rPr>
  </w:style>
  <w:style w:type="paragraph" w:styleId="Header">
    <w:name w:val="header"/>
    <w:basedOn w:val="Normal"/>
    <w:link w:val="HeaderChar"/>
    <w:uiPriority w:val="99"/>
    <w:unhideWhenUsed/>
    <w:rsid w:val="00591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06"/>
    <w:rPr>
      <w:rFonts w:ascii="Calibri" w:eastAsia="Times New Roman" w:hAnsi="Calibri" w:cs="Times New Roman"/>
      <w:lang w:eastAsia="hr-BA"/>
    </w:rPr>
  </w:style>
  <w:style w:type="paragraph" w:styleId="Footer">
    <w:name w:val="footer"/>
    <w:basedOn w:val="Normal"/>
    <w:link w:val="FooterChar"/>
    <w:uiPriority w:val="99"/>
    <w:unhideWhenUsed/>
    <w:rsid w:val="00591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06"/>
    <w:rPr>
      <w:rFonts w:ascii="Calibri" w:eastAsia="Times New Roman" w:hAnsi="Calibri" w:cs="Times New Roman"/>
      <w:lang w:eastAsia="hr-BA"/>
    </w:rPr>
  </w:style>
  <w:style w:type="paragraph" w:styleId="Revision">
    <w:name w:val="Revision"/>
    <w:hidden/>
    <w:uiPriority w:val="99"/>
    <w:semiHidden/>
    <w:rsid w:val="00FC7A65"/>
    <w:pPr>
      <w:spacing w:after="0" w:line="240" w:lineRule="auto"/>
    </w:pPr>
    <w:rPr>
      <w:rFonts w:ascii="Calibri" w:eastAsia="Times New Roman" w:hAnsi="Calibri" w:cs="Times New Roman"/>
      <w:lang w:eastAsia="hr-BA"/>
    </w:rPr>
  </w:style>
  <w:style w:type="character" w:customStyle="1" w:styleId="cf01">
    <w:name w:val="cf01"/>
    <w:basedOn w:val="DefaultParagraphFont"/>
    <w:rsid w:val="00FC7A65"/>
    <w:rPr>
      <w:rFonts w:ascii="Segoe UI" w:hAnsi="Segoe UI" w:cs="Segoe UI" w:hint="default"/>
      <w:i/>
      <w:i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E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E2C"/>
    <w:rPr>
      <w:rFonts w:ascii="Calibri" w:eastAsia="Times New Roman" w:hAnsi="Calibri" w:cs="Times New Roman"/>
      <w:sz w:val="20"/>
      <w:szCs w:val="20"/>
      <w:lang w:eastAsia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D85E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6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281"/>
    <w:rPr>
      <w:rFonts w:ascii="Calibri" w:eastAsia="Times New Roman" w:hAnsi="Calibri" w:cs="Times New Roman"/>
      <w:sz w:val="20"/>
      <w:szCs w:val="20"/>
      <w:lang w:eastAsia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281"/>
    <w:rPr>
      <w:rFonts w:ascii="Calibri" w:eastAsia="Times New Roman" w:hAnsi="Calibri" w:cs="Times New Roman"/>
      <w:b/>
      <w:bCs/>
      <w:sz w:val="20"/>
      <w:szCs w:val="20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bs.b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7242-08F9-478D-AFC9-AE10C4C9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Pojskic</dc:creator>
  <cp:keywords/>
  <dc:description/>
  <cp:lastModifiedBy>Elma Mehmedbasic</cp:lastModifiedBy>
  <cp:revision>4</cp:revision>
  <cp:lastPrinted>2025-01-20T15:02:00Z</cp:lastPrinted>
  <dcterms:created xsi:type="dcterms:W3CDTF">2025-01-20T14:59:00Z</dcterms:created>
  <dcterms:modified xsi:type="dcterms:W3CDTF">2025-05-13T13:18:00Z</dcterms:modified>
</cp:coreProperties>
</file>