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7DDB" w14:textId="553E894D" w:rsidR="0045329A" w:rsidRPr="00E81484" w:rsidRDefault="0045329A" w:rsidP="007B70D0">
      <w:pPr>
        <w:spacing w:after="0"/>
        <w:jc w:val="both"/>
        <w:rPr>
          <w:rFonts w:ascii="Arial" w:hAnsi="Arial" w:cs="Arial"/>
          <w:b/>
          <w:sz w:val="20"/>
        </w:rPr>
      </w:pPr>
      <w:r>
        <w:rPr>
          <w:rFonts w:ascii="Arial" w:hAnsi="Arial" w:cs="Arial"/>
          <w:b/>
          <w:sz w:val="18"/>
          <w:szCs w:val="18"/>
        </w:rPr>
        <w:t xml:space="preserve">      </w:t>
      </w:r>
      <w:bookmarkStart w:id="0" w:name="_Hlk68126448"/>
    </w:p>
    <w:p w14:paraId="362F1765" w14:textId="770D7A3C" w:rsidR="0045329A" w:rsidRPr="00F22B3E" w:rsidRDefault="00F22B3E" w:rsidP="00542935">
      <w:pPr>
        <w:spacing w:after="0"/>
        <w:jc w:val="center"/>
        <w:rPr>
          <w:rFonts w:ascii="Arial" w:hAnsi="Arial" w:cs="Arial"/>
          <w:b/>
        </w:rPr>
      </w:pPr>
      <w:r>
        <w:rPr>
          <w:rFonts w:ascii="Arial" w:hAnsi="Arial" w:cs="Arial"/>
          <w:b/>
        </w:rPr>
        <w:t xml:space="preserve">     </w:t>
      </w:r>
      <w:r w:rsidR="0045329A" w:rsidRPr="00F22B3E">
        <w:rPr>
          <w:rFonts w:ascii="Arial" w:hAnsi="Arial" w:cs="Arial"/>
          <w:b/>
        </w:rPr>
        <w:t xml:space="preserve">INFORMACIONI LIST </w:t>
      </w:r>
    </w:p>
    <w:tbl>
      <w:tblPr>
        <w:tblW w:w="5136" w:type="pct"/>
        <w:tblInd w:w="142" w:type="dxa"/>
        <w:tblLayout w:type="fixed"/>
        <w:tblLook w:val="04A0" w:firstRow="1" w:lastRow="0" w:firstColumn="1" w:lastColumn="0" w:noHBand="0" w:noVBand="1"/>
      </w:tblPr>
      <w:tblGrid>
        <w:gridCol w:w="1561"/>
        <w:gridCol w:w="8642"/>
        <w:gridCol w:w="134"/>
      </w:tblGrid>
      <w:tr w:rsidR="0045329A" w:rsidRPr="00F22B3E" w14:paraId="533AEC62" w14:textId="77777777" w:rsidTr="00BB49FE">
        <w:trPr>
          <w:gridAfter w:val="1"/>
          <w:wAfter w:w="65" w:type="pct"/>
        </w:trPr>
        <w:tc>
          <w:tcPr>
            <w:tcW w:w="755" w:type="pct"/>
            <w:tcBorders>
              <w:bottom w:val="single" w:sz="4" w:space="0" w:color="7F7F7F"/>
              <w:right w:val="nil"/>
            </w:tcBorders>
            <w:shd w:val="clear" w:color="auto" w:fill="FFFFFF"/>
          </w:tcPr>
          <w:p w14:paraId="47A1598E" w14:textId="77777777" w:rsidR="0045329A" w:rsidRPr="00F22B3E" w:rsidRDefault="0045329A" w:rsidP="00542935">
            <w:pPr>
              <w:spacing w:after="0"/>
              <w:rPr>
                <w:rFonts w:ascii="Arial" w:eastAsia="Times New Roman" w:hAnsi="Arial" w:cs="Arial"/>
                <w:b/>
                <w:bCs/>
                <w:i/>
                <w:iCs/>
              </w:rPr>
            </w:pPr>
          </w:p>
          <w:p w14:paraId="13F56A97" w14:textId="77777777" w:rsidR="0045329A" w:rsidRPr="00F22B3E" w:rsidRDefault="0045329A" w:rsidP="00542935">
            <w:pPr>
              <w:spacing w:after="0"/>
              <w:rPr>
                <w:rFonts w:ascii="Arial" w:eastAsia="Times New Roman" w:hAnsi="Arial" w:cs="Arial"/>
                <w:b/>
                <w:bCs/>
                <w:i/>
                <w:iCs/>
              </w:rPr>
            </w:pPr>
          </w:p>
        </w:tc>
        <w:tc>
          <w:tcPr>
            <w:tcW w:w="4180" w:type="pct"/>
            <w:tcBorders>
              <w:bottom w:val="single" w:sz="4" w:space="0" w:color="7F7F7F"/>
            </w:tcBorders>
            <w:shd w:val="clear" w:color="auto" w:fill="FFFFFF"/>
          </w:tcPr>
          <w:p w14:paraId="4906D9B4" w14:textId="77777777" w:rsidR="0045329A" w:rsidRPr="00F22B3E" w:rsidRDefault="0045329A" w:rsidP="00542935">
            <w:pPr>
              <w:spacing w:after="0"/>
              <w:rPr>
                <w:rFonts w:ascii="Arial" w:eastAsia="Times New Roman" w:hAnsi="Arial" w:cs="Arial"/>
                <w:b/>
                <w:bCs/>
                <w:i/>
                <w:iCs/>
              </w:rPr>
            </w:pPr>
          </w:p>
          <w:p w14:paraId="6224F572" w14:textId="77777777" w:rsidR="0045329A" w:rsidRDefault="0045329A" w:rsidP="00F22B3E">
            <w:pPr>
              <w:spacing w:after="0" w:line="240" w:lineRule="auto"/>
              <w:rPr>
                <w:rFonts w:ascii="Arial" w:eastAsia="Times New Roman" w:hAnsi="Arial" w:cs="Arial"/>
                <w:b/>
                <w:bCs/>
                <w:i/>
                <w:iCs/>
              </w:rPr>
            </w:pPr>
            <w:r w:rsidRPr="00F22B3E">
              <w:rPr>
                <w:rFonts w:ascii="Arial" w:eastAsia="Times New Roman" w:hAnsi="Arial" w:cs="Arial"/>
                <w:b/>
                <w:bCs/>
                <w:i/>
                <w:iCs/>
              </w:rPr>
              <w:t xml:space="preserve">                                       </w:t>
            </w:r>
            <w:r w:rsidR="00542935" w:rsidRPr="00F22B3E">
              <w:rPr>
                <w:rFonts w:ascii="Arial" w:eastAsia="Times New Roman" w:hAnsi="Arial" w:cs="Arial"/>
                <w:b/>
                <w:bCs/>
                <w:i/>
                <w:iCs/>
              </w:rPr>
              <w:t xml:space="preserve">   </w:t>
            </w:r>
            <w:r w:rsidRPr="00F22B3E">
              <w:rPr>
                <w:rFonts w:ascii="Arial" w:eastAsia="Times New Roman" w:hAnsi="Arial" w:cs="Arial"/>
                <w:b/>
                <w:bCs/>
                <w:i/>
                <w:iCs/>
              </w:rPr>
              <w:t>Oročena štednja</w:t>
            </w:r>
          </w:p>
          <w:p w14:paraId="2D3B33B2" w14:textId="1063DD14" w:rsidR="00F22B3E" w:rsidRPr="00F22B3E" w:rsidRDefault="00F22B3E" w:rsidP="00F22B3E">
            <w:pPr>
              <w:spacing w:after="0" w:line="240" w:lineRule="auto"/>
              <w:rPr>
                <w:rFonts w:ascii="Arial" w:eastAsia="Times New Roman" w:hAnsi="Arial" w:cs="Arial"/>
                <w:b/>
                <w:bCs/>
                <w:i/>
                <w:iCs/>
              </w:rPr>
            </w:pPr>
          </w:p>
        </w:tc>
      </w:tr>
      <w:tr w:rsidR="0045329A" w:rsidRPr="00F317DA" w14:paraId="724E3980" w14:textId="77777777" w:rsidTr="00BB49FE">
        <w:trPr>
          <w:gridAfter w:val="1"/>
          <w:wAfter w:w="65" w:type="pct"/>
          <w:trHeight w:val="1563"/>
        </w:trPr>
        <w:tc>
          <w:tcPr>
            <w:tcW w:w="755" w:type="pct"/>
            <w:tcBorders>
              <w:right w:val="single" w:sz="4" w:space="0" w:color="7F7F7F"/>
            </w:tcBorders>
            <w:shd w:val="clear" w:color="auto" w:fill="FFFFFF"/>
          </w:tcPr>
          <w:p w14:paraId="168B58B3"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Karakteristike oročene štednje</w:t>
            </w:r>
          </w:p>
        </w:tc>
        <w:tc>
          <w:tcPr>
            <w:tcW w:w="4180" w:type="pct"/>
            <w:shd w:val="clear" w:color="auto" w:fill="auto"/>
          </w:tcPr>
          <w:p w14:paraId="7AD6907C" w14:textId="77777777" w:rsidR="0045329A" w:rsidRPr="00F317DA" w:rsidRDefault="0045329A" w:rsidP="00542935">
            <w:pPr>
              <w:spacing w:after="0"/>
              <w:jc w:val="both"/>
              <w:rPr>
                <w:rFonts w:ascii="Arial" w:hAnsi="Arial" w:cs="Arial"/>
                <w:bCs/>
                <w:sz w:val="18"/>
                <w:szCs w:val="18"/>
              </w:rPr>
            </w:pPr>
            <w:r w:rsidRPr="00F317DA">
              <w:rPr>
                <w:rFonts w:ascii="Arial" w:hAnsi="Arial" w:cs="Arial"/>
                <w:bCs/>
                <w:sz w:val="18"/>
                <w:szCs w:val="18"/>
              </w:rPr>
              <w:t>Oročena štednja je ulog sa jednokratnom uplatom koja se ugovara na određeni period. Za svaki pojedini iznos sredstava koja se oročavaju</w:t>
            </w:r>
            <w:r>
              <w:rPr>
                <w:rFonts w:ascii="Arial" w:hAnsi="Arial" w:cs="Arial"/>
                <w:bCs/>
                <w:sz w:val="18"/>
                <w:szCs w:val="18"/>
              </w:rPr>
              <w:t>, Banka i d</w:t>
            </w:r>
            <w:r w:rsidRPr="00F317DA">
              <w:rPr>
                <w:rFonts w:ascii="Arial" w:hAnsi="Arial" w:cs="Arial"/>
                <w:bCs/>
                <w:sz w:val="18"/>
                <w:szCs w:val="18"/>
              </w:rPr>
              <w:t xml:space="preserve">eponent zaključuju poseban </w:t>
            </w:r>
            <w:r>
              <w:rPr>
                <w:rFonts w:ascii="Arial" w:hAnsi="Arial" w:cs="Arial"/>
                <w:sz w:val="18"/>
                <w:szCs w:val="18"/>
              </w:rPr>
              <w:t>u</w:t>
            </w:r>
            <w:r w:rsidRPr="00F317DA">
              <w:rPr>
                <w:rFonts w:ascii="Arial" w:hAnsi="Arial" w:cs="Arial"/>
                <w:sz w:val="18"/>
                <w:szCs w:val="18"/>
              </w:rPr>
              <w:t>govor o oročenom depozitu na određeno vrijeme. U zavisnosti od iznosa depozita i perioda oročenja</w:t>
            </w:r>
            <w:r>
              <w:rPr>
                <w:rFonts w:ascii="Arial" w:hAnsi="Arial" w:cs="Arial"/>
                <w:sz w:val="18"/>
                <w:szCs w:val="18"/>
              </w:rPr>
              <w:t>,</w:t>
            </w:r>
            <w:r w:rsidRPr="00F317DA">
              <w:rPr>
                <w:rFonts w:ascii="Arial" w:hAnsi="Arial" w:cs="Arial"/>
                <w:sz w:val="18"/>
                <w:szCs w:val="18"/>
              </w:rPr>
              <w:t xml:space="preserve"> ugovara se pripadajuća kamatna stopa.</w:t>
            </w:r>
            <w:r>
              <w:rPr>
                <w:rFonts w:ascii="Arial" w:hAnsi="Arial" w:cs="Arial"/>
                <w:sz w:val="18"/>
                <w:szCs w:val="18"/>
              </w:rPr>
              <w:t xml:space="preserve"> Uz ugovor, d</w:t>
            </w:r>
            <w:r w:rsidRPr="00F317DA">
              <w:rPr>
                <w:rFonts w:ascii="Arial" w:hAnsi="Arial" w:cs="Arial"/>
                <w:sz w:val="18"/>
                <w:szCs w:val="18"/>
              </w:rPr>
              <w:t>eponentu se izdaju plan isplate depozita i štedna knjižica.</w:t>
            </w:r>
            <w:r>
              <w:rPr>
                <w:rFonts w:ascii="Arial" w:hAnsi="Arial" w:cs="Arial"/>
                <w:sz w:val="18"/>
                <w:szCs w:val="18"/>
              </w:rPr>
              <w:t xml:space="preserve"> </w:t>
            </w:r>
            <w:r w:rsidRPr="00493C5D">
              <w:rPr>
                <w:rFonts w:ascii="Arial" w:hAnsi="Arial" w:cs="Arial"/>
                <w:sz w:val="18"/>
                <w:szCs w:val="18"/>
              </w:rPr>
              <w:t>U slučaju da</w:t>
            </w:r>
            <w:r>
              <w:rPr>
                <w:rFonts w:ascii="Arial" w:hAnsi="Arial" w:cs="Arial"/>
                <w:sz w:val="18"/>
                <w:szCs w:val="18"/>
              </w:rPr>
              <w:t xml:space="preserve"> je d</w:t>
            </w:r>
            <w:r w:rsidRPr="00493C5D">
              <w:rPr>
                <w:rFonts w:ascii="Arial" w:hAnsi="Arial" w:cs="Arial"/>
                <w:sz w:val="18"/>
                <w:szCs w:val="18"/>
              </w:rPr>
              <w:t>eponent prije zaključenja ugovora imao otvoren štedni račun „po viđenju“, Banka mu ne izdaje štednu knjižicu.</w:t>
            </w:r>
          </w:p>
          <w:p w14:paraId="37166C87" w14:textId="77777777" w:rsidR="0045329A" w:rsidRPr="00F317DA" w:rsidRDefault="0045329A" w:rsidP="001950B7">
            <w:pPr>
              <w:spacing w:after="0"/>
              <w:jc w:val="both"/>
              <w:rPr>
                <w:rFonts w:ascii="Arial" w:hAnsi="Arial" w:cs="Arial"/>
                <w:sz w:val="18"/>
                <w:szCs w:val="18"/>
              </w:rPr>
            </w:pPr>
          </w:p>
        </w:tc>
      </w:tr>
      <w:tr w:rsidR="0045329A" w:rsidRPr="00F317DA" w14:paraId="18A07C0A" w14:textId="77777777" w:rsidTr="00BB49FE">
        <w:trPr>
          <w:gridAfter w:val="1"/>
          <w:wAfter w:w="65" w:type="pct"/>
          <w:trHeight w:val="2341"/>
        </w:trPr>
        <w:tc>
          <w:tcPr>
            <w:tcW w:w="755" w:type="pct"/>
            <w:tcBorders>
              <w:right w:val="single" w:sz="4" w:space="0" w:color="7F7F7F"/>
            </w:tcBorders>
            <w:shd w:val="clear" w:color="auto" w:fill="FFFFFF"/>
          </w:tcPr>
          <w:p w14:paraId="3E00E820"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Korisnici</w:t>
            </w:r>
          </w:p>
        </w:tc>
        <w:tc>
          <w:tcPr>
            <w:tcW w:w="4180" w:type="pct"/>
            <w:shd w:val="clear" w:color="auto" w:fill="auto"/>
          </w:tcPr>
          <w:p w14:paraId="43D5DA95" w14:textId="77777777" w:rsidR="0045329A" w:rsidRPr="00F317DA" w:rsidRDefault="0045329A" w:rsidP="00542935">
            <w:pPr>
              <w:spacing w:after="0"/>
              <w:jc w:val="both"/>
              <w:rPr>
                <w:rFonts w:ascii="Arial" w:hAnsi="Arial" w:cs="Arial"/>
                <w:sz w:val="18"/>
                <w:szCs w:val="18"/>
              </w:rPr>
            </w:pPr>
            <w:r w:rsidRPr="00F317DA">
              <w:rPr>
                <w:rFonts w:ascii="Arial" w:hAnsi="Arial" w:cs="Arial"/>
                <w:sz w:val="18"/>
                <w:szCs w:val="18"/>
              </w:rPr>
              <w:t>Deponenti mogu biti:</w:t>
            </w:r>
          </w:p>
          <w:p w14:paraId="7E2F607D" w14:textId="77777777" w:rsidR="0045329A" w:rsidRPr="004849A3" w:rsidRDefault="0045329A" w:rsidP="00542935">
            <w:pPr>
              <w:pStyle w:val="ListParagraph"/>
              <w:numPr>
                <w:ilvl w:val="0"/>
                <w:numId w:val="3"/>
              </w:numPr>
              <w:spacing w:after="0"/>
              <w:jc w:val="both"/>
              <w:rPr>
                <w:rFonts w:ascii="Arial" w:hAnsi="Arial" w:cs="Arial"/>
                <w:sz w:val="18"/>
                <w:szCs w:val="18"/>
              </w:rPr>
            </w:pPr>
            <w:r w:rsidRPr="004849A3">
              <w:rPr>
                <w:rFonts w:ascii="Arial" w:hAnsi="Arial" w:cs="Arial"/>
                <w:sz w:val="18"/>
                <w:szCs w:val="18"/>
              </w:rPr>
              <w:t>domaća fizička lica - rezidenti stariji od 18 (osamnaest) godina sa stalnim prebivalištem u BiH,</w:t>
            </w:r>
          </w:p>
          <w:p w14:paraId="7A959DDB" w14:textId="77777777" w:rsidR="0045329A" w:rsidRPr="004849A3" w:rsidRDefault="0045329A" w:rsidP="00542935">
            <w:pPr>
              <w:pStyle w:val="ListParagraph"/>
              <w:numPr>
                <w:ilvl w:val="0"/>
                <w:numId w:val="3"/>
              </w:numPr>
              <w:spacing w:after="0"/>
              <w:jc w:val="both"/>
              <w:rPr>
                <w:rFonts w:ascii="Arial" w:hAnsi="Arial" w:cs="Arial"/>
                <w:sz w:val="18"/>
                <w:szCs w:val="18"/>
              </w:rPr>
            </w:pPr>
            <w:r w:rsidRPr="004849A3">
              <w:rPr>
                <w:rFonts w:ascii="Arial" w:hAnsi="Arial" w:cs="Arial"/>
                <w:sz w:val="18"/>
                <w:szCs w:val="18"/>
              </w:rPr>
              <w:t>maloljetni rezidenti za koje račun može otvoriti zakonski zastupnik (roditelj),</w:t>
            </w:r>
          </w:p>
          <w:p w14:paraId="58D5E3E7" w14:textId="77777777" w:rsidR="0045329A" w:rsidRPr="004849A3" w:rsidRDefault="0045329A" w:rsidP="00542935">
            <w:pPr>
              <w:pStyle w:val="ListParagraph"/>
              <w:numPr>
                <w:ilvl w:val="0"/>
                <w:numId w:val="3"/>
              </w:numPr>
              <w:spacing w:after="0"/>
              <w:jc w:val="both"/>
              <w:rPr>
                <w:rFonts w:ascii="Arial" w:hAnsi="Arial" w:cs="Arial"/>
                <w:sz w:val="18"/>
                <w:szCs w:val="18"/>
              </w:rPr>
            </w:pPr>
            <w:r w:rsidRPr="004849A3">
              <w:rPr>
                <w:rFonts w:ascii="Arial" w:hAnsi="Arial" w:cs="Arial"/>
                <w:sz w:val="18"/>
                <w:szCs w:val="18"/>
              </w:rPr>
              <w:t>lica pod starateljstvom (punoljetna i maloljetna) za koja račun mogu otvoriti zakonski staratelji,</w:t>
            </w:r>
          </w:p>
          <w:p w14:paraId="2094ECD0" w14:textId="77777777" w:rsidR="0045329A" w:rsidRPr="004849A3" w:rsidRDefault="0045329A" w:rsidP="00542935">
            <w:pPr>
              <w:pStyle w:val="ListParagraph"/>
              <w:numPr>
                <w:ilvl w:val="0"/>
                <w:numId w:val="3"/>
              </w:numPr>
              <w:spacing w:after="0"/>
              <w:jc w:val="both"/>
              <w:rPr>
                <w:rFonts w:ascii="Arial" w:hAnsi="Arial" w:cs="Arial"/>
                <w:sz w:val="18"/>
                <w:szCs w:val="18"/>
              </w:rPr>
            </w:pPr>
            <w:r w:rsidRPr="004849A3">
              <w:rPr>
                <w:rFonts w:ascii="Arial" w:hAnsi="Arial" w:cs="Arial"/>
                <w:sz w:val="18"/>
                <w:szCs w:val="18"/>
              </w:rPr>
              <w:t>strana fizička lica - nerezidenti.</w:t>
            </w:r>
          </w:p>
          <w:p w14:paraId="0C4D9D84" w14:textId="77777777" w:rsidR="0045329A" w:rsidRPr="00F317DA" w:rsidRDefault="0045329A" w:rsidP="00542935">
            <w:pPr>
              <w:spacing w:after="0"/>
              <w:jc w:val="both"/>
              <w:rPr>
                <w:rFonts w:ascii="Arial" w:hAnsi="Arial" w:cs="Arial"/>
                <w:sz w:val="18"/>
                <w:szCs w:val="18"/>
              </w:rPr>
            </w:pPr>
            <w:r w:rsidRPr="00F317DA">
              <w:rPr>
                <w:rFonts w:ascii="Arial" w:hAnsi="Arial" w:cs="Arial"/>
                <w:sz w:val="18"/>
                <w:szCs w:val="18"/>
              </w:rPr>
              <w:t>Deponent može ovlastiti jednu ili više poslovno sposobnih osoba da raspolažu sredstvima po nj</w:t>
            </w:r>
            <w:r>
              <w:rPr>
                <w:rFonts w:ascii="Arial" w:hAnsi="Arial" w:cs="Arial"/>
                <w:sz w:val="18"/>
                <w:szCs w:val="18"/>
              </w:rPr>
              <w:t xml:space="preserve">egovom računu u ime i za račun deponenta, </w:t>
            </w:r>
            <w:r w:rsidRPr="00F317DA">
              <w:rPr>
                <w:rFonts w:ascii="Arial" w:hAnsi="Arial" w:cs="Arial"/>
                <w:sz w:val="18"/>
                <w:szCs w:val="18"/>
              </w:rPr>
              <w:t>ali sve u granicama ovlaštenja iz punomoći. Punomoć je moguće dati na određeni period, neodređeno vrijeme i jednokratno. Po računu maloljetnog lica zakonski zastupnik može izdati punomoć izuzev kada maloljetni klijent stariji od 15</w:t>
            </w:r>
            <w:r>
              <w:rPr>
                <w:rFonts w:ascii="Arial" w:hAnsi="Arial" w:cs="Arial"/>
                <w:sz w:val="18"/>
                <w:szCs w:val="18"/>
              </w:rPr>
              <w:t xml:space="preserve"> (petnaest)</w:t>
            </w:r>
            <w:r w:rsidRPr="00F317DA">
              <w:rPr>
                <w:rFonts w:ascii="Arial" w:hAnsi="Arial" w:cs="Arial"/>
                <w:sz w:val="18"/>
                <w:szCs w:val="18"/>
              </w:rPr>
              <w:t xml:space="preserve"> godina samostalno raspolaže svojom zaradom/prihodom na računu. Staratelj ne može opunomoćiti drugu osobu za raspolaganje po računu (pravo raspolaganja može prenijeti na drugu osobu samo na osnovu akta nadležnog organa (sud, organ starateljstva).</w:t>
            </w:r>
          </w:p>
        </w:tc>
      </w:tr>
      <w:tr w:rsidR="0045329A" w:rsidRPr="00F317DA" w14:paraId="160CAB0B" w14:textId="77777777" w:rsidTr="00BB49FE">
        <w:trPr>
          <w:gridAfter w:val="1"/>
          <w:wAfter w:w="65" w:type="pct"/>
          <w:trHeight w:val="393"/>
        </w:trPr>
        <w:tc>
          <w:tcPr>
            <w:tcW w:w="755" w:type="pct"/>
            <w:tcBorders>
              <w:top w:val="dotted" w:sz="4" w:space="0" w:color="808080"/>
              <w:bottom w:val="dotted" w:sz="4" w:space="0" w:color="808080"/>
              <w:right w:val="single" w:sz="4" w:space="0" w:color="7F7F7F"/>
            </w:tcBorders>
            <w:shd w:val="clear" w:color="auto" w:fill="FFFFFF"/>
          </w:tcPr>
          <w:p w14:paraId="5FC3501E"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 xml:space="preserve">Iznos usluge, oznaka valute </w:t>
            </w:r>
          </w:p>
        </w:tc>
        <w:tc>
          <w:tcPr>
            <w:tcW w:w="4180" w:type="pct"/>
            <w:tcBorders>
              <w:top w:val="dotted" w:sz="4" w:space="0" w:color="808080"/>
              <w:bottom w:val="dotted" w:sz="4" w:space="0" w:color="808080"/>
            </w:tcBorders>
            <w:shd w:val="clear" w:color="auto" w:fill="auto"/>
          </w:tcPr>
          <w:p w14:paraId="62E5697C" w14:textId="77777777" w:rsidR="0045329A" w:rsidRPr="00F317DA" w:rsidRDefault="0045329A" w:rsidP="00542935">
            <w:pPr>
              <w:spacing w:after="0"/>
              <w:jc w:val="both"/>
              <w:rPr>
                <w:rFonts w:ascii="Arial" w:hAnsi="Arial" w:cs="Arial"/>
                <w:sz w:val="18"/>
                <w:szCs w:val="18"/>
              </w:rPr>
            </w:pPr>
            <w:r w:rsidRPr="00F317DA">
              <w:rPr>
                <w:rFonts w:ascii="Arial" w:hAnsi="Arial" w:cs="Arial"/>
                <w:sz w:val="18"/>
                <w:szCs w:val="18"/>
              </w:rPr>
              <w:t>Oročena štednja se može ugovarati u valutama KM,</w:t>
            </w:r>
            <w:r>
              <w:rPr>
                <w:rFonts w:ascii="Arial" w:hAnsi="Arial" w:cs="Arial"/>
                <w:sz w:val="18"/>
                <w:szCs w:val="18"/>
              </w:rPr>
              <w:t xml:space="preserve"> </w:t>
            </w:r>
            <w:r w:rsidRPr="00F317DA">
              <w:rPr>
                <w:rFonts w:ascii="Arial" w:hAnsi="Arial" w:cs="Arial"/>
                <w:sz w:val="18"/>
                <w:szCs w:val="18"/>
              </w:rPr>
              <w:t>EUR,</w:t>
            </w:r>
            <w:r>
              <w:rPr>
                <w:rFonts w:ascii="Arial" w:hAnsi="Arial" w:cs="Arial"/>
                <w:sz w:val="18"/>
                <w:szCs w:val="18"/>
              </w:rPr>
              <w:t xml:space="preserve"> </w:t>
            </w:r>
            <w:r w:rsidRPr="00F317DA">
              <w:rPr>
                <w:rFonts w:ascii="Arial" w:hAnsi="Arial" w:cs="Arial"/>
                <w:sz w:val="18"/>
                <w:szCs w:val="18"/>
              </w:rPr>
              <w:t>CHF,</w:t>
            </w:r>
            <w:r>
              <w:rPr>
                <w:rFonts w:ascii="Arial" w:hAnsi="Arial" w:cs="Arial"/>
                <w:sz w:val="18"/>
                <w:szCs w:val="18"/>
              </w:rPr>
              <w:t xml:space="preserve"> </w:t>
            </w:r>
            <w:r w:rsidRPr="00F317DA">
              <w:rPr>
                <w:rFonts w:ascii="Arial" w:hAnsi="Arial" w:cs="Arial"/>
                <w:sz w:val="18"/>
                <w:szCs w:val="18"/>
              </w:rPr>
              <w:t>USD,</w:t>
            </w:r>
            <w:r>
              <w:rPr>
                <w:rFonts w:ascii="Arial" w:hAnsi="Arial" w:cs="Arial"/>
                <w:sz w:val="18"/>
                <w:szCs w:val="18"/>
              </w:rPr>
              <w:t xml:space="preserve"> </w:t>
            </w:r>
            <w:r w:rsidRPr="00F317DA">
              <w:rPr>
                <w:rFonts w:ascii="Arial" w:hAnsi="Arial" w:cs="Arial"/>
                <w:sz w:val="18"/>
                <w:szCs w:val="18"/>
              </w:rPr>
              <w:t>GBP</w:t>
            </w:r>
            <w:r w:rsidRPr="00F317DA">
              <w:rPr>
                <w:rFonts w:ascii="Arial" w:hAnsi="Arial" w:cs="Arial"/>
                <w:bCs/>
                <w:sz w:val="18"/>
                <w:szCs w:val="18"/>
              </w:rPr>
              <w:t xml:space="preserve"> bez ograničenja vezanih za iznos depozita.</w:t>
            </w:r>
          </w:p>
        </w:tc>
      </w:tr>
      <w:tr w:rsidR="0045329A" w:rsidRPr="00F317DA" w14:paraId="6AE12807" w14:textId="77777777" w:rsidTr="00BB49FE">
        <w:trPr>
          <w:gridAfter w:val="1"/>
          <w:wAfter w:w="65" w:type="pct"/>
          <w:trHeight w:val="597"/>
        </w:trPr>
        <w:tc>
          <w:tcPr>
            <w:tcW w:w="755" w:type="pct"/>
            <w:tcBorders>
              <w:top w:val="dotted" w:sz="4" w:space="0" w:color="808080"/>
              <w:bottom w:val="dotted" w:sz="4" w:space="0" w:color="808080"/>
              <w:right w:val="single" w:sz="4" w:space="0" w:color="7F7F7F"/>
            </w:tcBorders>
            <w:shd w:val="clear" w:color="auto" w:fill="FFFFFF"/>
          </w:tcPr>
          <w:p w14:paraId="7F0A752C"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Preduslov za korištenje usluge</w:t>
            </w:r>
          </w:p>
        </w:tc>
        <w:tc>
          <w:tcPr>
            <w:tcW w:w="4180" w:type="pct"/>
            <w:tcBorders>
              <w:top w:val="dotted" w:sz="4" w:space="0" w:color="808080"/>
              <w:bottom w:val="dotted" w:sz="4" w:space="0" w:color="808080"/>
            </w:tcBorders>
            <w:shd w:val="clear" w:color="auto" w:fill="auto"/>
          </w:tcPr>
          <w:p w14:paraId="4F3E1152" w14:textId="77777777" w:rsidR="0045329A" w:rsidRDefault="0045329A" w:rsidP="00542935">
            <w:pPr>
              <w:spacing w:after="0"/>
              <w:rPr>
                <w:rFonts w:ascii="Arial" w:hAnsi="Arial" w:cs="Arial"/>
                <w:sz w:val="18"/>
                <w:szCs w:val="18"/>
              </w:rPr>
            </w:pPr>
          </w:p>
          <w:p w14:paraId="1B2B45D7" w14:textId="77777777" w:rsidR="0045329A" w:rsidRPr="00F317DA" w:rsidRDefault="0045329A" w:rsidP="00542935">
            <w:pPr>
              <w:spacing w:after="0"/>
              <w:rPr>
                <w:rFonts w:ascii="Arial" w:hAnsi="Arial" w:cs="Arial"/>
                <w:sz w:val="18"/>
                <w:szCs w:val="18"/>
              </w:rPr>
            </w:pPr>
            <w:r w:rsidRPr="00F317DA">
              <w:rPr>
                <w:rFonts w:ascii="Arial" w:hAnsi="Arial" w:cs="Arial"/>
                <w:sz w:val="18"/>
                <w:szCs w:val="18"/>
              </w:rPr>
              <w:t xml:space="preserve">Otvoren štedni račun </w:t>
            </w:r>
            <w:r>
              <w:rPr>
                <w:rFonts w:ascii="Arial" w:hAnsi="Arial" w:cs="Arial"/>
                <w:sz w:val="18"/>
                <w:szCs w:val="18"/>
              </w:rPr>
              <w:t>„</w:t>
            </w:r>
            <w:r w:rsidRPr="00F317DA">
              <w:rPr>
                <w:rFonts w:ascii="Arial" w:hAnsi="Arial" w:cs="Arial"/>
                <w:sz w:val="18"/>
                <w:szCs w:val="18"/>
              </w:rPr>
              <w:t>po viđenju</w:t>
            </w:r>
            <w:r>
              <w:rPr>
                <w:rFonts w:ascii="Arial" w:hAnsi="Arial" w:cs="Arial"/>
                <w:sz w:val="18"/>
                <w:szCs w:val="18"/>
              </w:rPr>
              <w:t>“ -</w:t>
            </w:r>
            <w:r w:rsidRPr="00F317DA">
              <w:rPr>
                <w:rFonts w:ascii="Arial" w:hAnsi="Arial" w:cs="Arial"/>
                <w:sz w:val="18"/>
                <w:szCs w:val="18"/>
              </w:rPr>
              <w:t xml:space="preserve"> a vista račun, uz obavezu zaključenja posebnog ugovora.</w:t>
            </w:r>
          </w:p>
          <w:p w14:paraId="662314C8" w14:textId="77777777" w:rsidR="0045329A" w:rsidRPr="00F317DA" w:rsidRDefault="0045329A" w:rsidP="00542935">
            <w:pPr>
              <w:spacing w:after="0"/>
              <w:rPr>
                <w:rFonts w:ascii="Arial" w:hAnsi="Arial" w:cs="Arial"/>
                <w:sz w:val="18"/>
                <w:szCs w:val="18"/>
              </w:rPr>
            </w:pPr>
          </w:p>
        </w:tc>
      </w:tr>
      <w:tr w:rsidR="0045329A" w:rsidRPr="00F317DA" w14:paraId="48943387" w14:textId="77777777" w:rsidTr="00BB49FE">
        <w:trPr>
          <w:gridAfter w:val="1"/>
          <w:wAfter w:w="65" w:type="pct"/>
          <w:trHeight w:val="312"/>
        </w:trPr>
        <w:tc>
          <w:tcPr>
            <w:tcW w:w="755" w:type="pct"/>
            <w:vMerge w:val="restart"/>
            <w:tcBorders>
              <w:top w:val="dotted" w:sz="4" w:space="0" w:color="808080"/>
              <w:right w:val="single" w:sz="4" w:space="0" w:color="7F7F7F"/>
            </w:tcBorders>
            <w:shd w:val="clear" w:color="auto" w:fill="FFFFFF"/>
          </w:tcPr>
          <w:p w14:paraId="5AC9798C"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Naknade</w:t>
            </w:r>
          </w:p>
        </w:tc>
        <w:tc>
          <w:tcPr>
            <w:tcW w:w="4180" w:type="pct"/>
            <w:tcBorders>
              <w:top w:val="dotted" w:sz="4" w:space="0" w:color="808080"/>
            </w:tcBorders>
            <w:shd w:val="clear" w:color="auto" w:fill="auto"/>
          </w:tcPr>
          <w:p w14:paraId="7E48C400" w14:textId="77777777" w:rsidR="0045329A" w:rsidRPr="00F317DA" w:rsidRDefault="0045329A" w:rsidP="00542935">
            <w:pPr>
              <w:spacing w:after="0"/>
              <w:rPr>
                <w:rFonts w:ascii="Arial" w:hAnsi="Arial" w:cs="Arial"/>
                <w:sz w:val="18"/>
                <w:szCs w:val="18"/>
              </w:rPr>
            </w:pPr>
            <w:r w:rsidRPr="00F317DA">
              <w:rPr>
                <w:rFonts w:ascii="Arial" w:hAnsi="Arial" w:cs="Arial"/>
                <w:snapToGrid w:val="0"/>
                <w:sz w:val="18"/>
                <w:szCs w:val="18"/>
                <w:lang w:val="pl-PL"/>
              </w:rPr>
              <w:t>Pregled važeće tarife:</w:t>
            </w:r>
          </w:p>
        </w:tc>
      </w:tr>
      <w:tr w:rsidR="0045329A" w:rsidRPr="00F317DA" w14:paraId="356DBF65" w14:textId="77777777" w:rsidTr="00BB49FE">
        <w:trPr>
          <w:gridAfter w:val="1"/>
          <w:wAfter w:w="65" w:type="pct"/>
          <w:trHeight w:val="2314"/>
        </w:trPr>
        <w:tc>
          <w:tcPr>
            <w:tcW w:w="755" w:type="pct"/>
            <w:vMerge/>
            <w:tcBorders>
              <w:bottom w:val="dotted" w:sz="4" w:space="0" w:color="808080"/>
              <w:right w:val="single" w:sz="4" w:space="0" w:color="7F7F7F"/>
            </w:tcBorders>
            <w:shd w:val="clear" w:color="auto" w:fill="FFFFFF"/>
          </w:tcPr>
          <w:p w14:paraId="7889A1E0" w14:textId="77777777" w:rsidR="0045329A" w:rsidRPr="00F317DA" w:rsidRDefault="0045329A" w:rsidP="00542935">
            <w:pPr>
              <w:spacing w:after="0"/>
              <w:rPr>
                <w:rFonts w:ascii="Arial" w:eastAsia="Times New Roman" w:hAnsi="Arial" w:cs="Arial"/>
                <w:b/>
                <w:bCs/>
                <w:i/>
                <w:iCs/>
                <w:sz w:val="18"/>
                <w:szCs w:val="18"/>
              </w:rPr>
            </w:pPr>
          </w:p>
        </w:tc>
        <w:tc>
          <w:tcPr>
            <w:tcW w:w="4180" w:type="pct"/>
            <w:tcBorders>
              <w:bottom w:val="dotted" w:sz="4" w:space="0" w:color="808080"/>
            </w:tcBorders>
            <w:shd w:val="clear" w:color="auto" w:fill="auto"/>
          </w:tcPr>
          <w:tbl>
            <w:tblPr>
              <w:tblW w:w="10600" w:type="dxa"/>
              <w:tblLayout w:type="fixed"/>
              <w:tblLook w:val="04A0" w:firstRow="1" w:lastRow="0" w:firstColumn="1" w:lastColumn="0" w:noHBand="0" w:noVBand="1"/>
            </w:tblPr>
            <w:tblGrid>
              <w:gridCol w:w="8031"/>
              <w:gridCol w:w="2569"/>
            </w:tblGrid>
            <w:tr w:rsidR="0045329A" w:rsidRPr="00F317DA" w14:paraId="6B9B3C16" w14:textId="77777777" w:rsidTr="00BB49FE">
              <w:trPr>
                <w:trHeight w:val="450"/>
              </w:trPr>
              <w:tc>
                <w:tcPr>
                  <w:tcW w:w="8031" w:type="dxa"/>
                  <w:tcBorders>
                    <w:top w:val="nil"/>
                    <w:left w:val="nil"/>
                    <w:bottom w:val="nil"/>
                    <w:right w:val="nil"/>
                  </w:tcBorders>
                  <w:shd w:val="clear" w:color="auto" w:fill="auto"/>
                  <w:vAlign w:val="center"/>
                  <w:hideMark/>
                </w:tcPr>
                <w:tbl>
                  <w:tblPr>
                    <w:tblW w:w="8080" w:type="dxa"/>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ayout w:type="fixed"/>
                    <w:tblLook w:val="04A0" w:firstRow="1" w:lastRow="0" w:firstColumn="1" w:lastColumn="0" w:noHBand="0" w:noVBand="1"/>
                  </w:tblPr>
                  <w:tblGrid>
                    <w:gridCol w:w="5260"/>
                    <w:gridCol w:w="2820"/>
                  </w:tblGrid>
                  <w:tr w:rsidR="0045329A" w:rsidRPr="00F317DA" w14:paraId="4DCAA6FA" w14:textId="77777777" w:rsidTr="00BB49FE">
                    <w:trPr>
                      <w:trHeight w:val="210"/>
                    </w:trPr>
                    <w:tc>
                      <w:tcPr>
                        <w:tcW w:w="5260" w:type="dxa"/>
                        <w:shd w:val="clear" w:color="auto" w:fill="auto"/>
                        <w:vAlign w:val="center"/>
                        <w:hideMark/>
                      </w:tcPr>
                      <w:p w14:paraId="5313F46D"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 xml:space="preserve">Otvaranje </w:t>
                        </w:r>
                        <w:r>
                          <w:rPr>
                            <w:rFonts w:ascii="Arial" w:eastAsia="Times New Roman" w:hAnsi="Arial" w:cs="Arial"/>
                            <w:snapToGrid w:val="0"/>
                            <w:color w:val="000000"/>
                            <w:sz w:val="18"/>
                            <w:szCs w:val="18"/>
                            <w:lang w:val="hr-HR" w:eastAsia="hr-BA"/>
                          </w:rPr>
                          <w:t xml:space="preserve">a vista </w:t>
                        </w:r>
                        <w:r w:rsidRPr="00F317DA">
                          <w:rPr>
                            <w:rFonts w:ascii="Arial" w:eastAsia="Times New Roman" w:hAnsi="Arial" w:cs="Arial"/>
                            <w:snapToGrid w:val="0"/>
                            <w:color w:val="000000"/>
                            <w:sz w:val="18"/>
                            <w:szCs w:val="18"/>
                            <w:lang w:val="hr-HR" w:eastAsia="hr-BA"/>
                          </w:rPr>
                          <w:t>računa</w:t>
                        </w:r>
                      </w:p>
                    </w:tc>
                    <w:tc>
                      <w:tcPr>
                        <w:tcW w:w="2820" w:type="dxa"/>
                        <w:shd w:val="clear" w:color="auto" w:fill="auto"/>
                        <w:vAlign w:val="center"/>
                        <w:hideMark/>
                      </w:tcPr>
                      <w:p w14:paraId="3F94E2B9"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Bez naknade</w:t>
                        </w:r>
                      </w:p>
                    </w:tc>
                  </w:tr>
                  <w:tr w:rsidR="0045329A" w:rsidRPr="00F317DA" w14:paraId="58129C69" w14:textId="77777777" w:rsidTr="00BB49FE">
                    <w:trPr>
                      <w:trHeight w:val="210"/>
                    </w:trPr>
                    <w:tc>
                      <w:tcPr>
                        <w:tcW w:w="5260" w:type="dxa"/>
                        <w:shd w:val="clear" w:color="auto" w:fill="auto"/>
                        <w:vAlign w:val="center"/>
                        <w:hideMark/>
                      </w:tcPr>
                      <w:p w14:paraId="7274A181"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 xml:space="preserve">Zatvaranje </w:t>
                        </w:r>
                        <w:r>
                          <w:rPr>
                            <w:rFonts w:ascii="Arial" w:eastAsia="Times New Roman" w:hAnsi="Arial" w:cs="Arial"/>
                            <w:snapToGrid w:val="0"/>
                            <w:color w:val="000000"/>
                            <w:sz w:val="18"/>
                            <w:szCs w:val="18"/>
                            <w:lang w:val="hr-HR" w:eastAsia="hr-BA"/>
                          </w:rPr>
                          <w:t xml:space="preserve">a vista </w:t>
                        </w:r>
                        <w:r w:rsidRPr="00F317DA">
                          <w:rPr>
                            <w:rFonts w:ascii="Arial" w:eastAsia="Times New Roman" w:hAnsi="Arial" w:cs="Arial"/>
                            <w:snapToGrid w:val="0"/>
                            <w:color w:val="000000"/>
                            <w:sz w:val="18"/>
                            <w:szCs w:val="18"/>
                            <w:lang w:val="hr-HR" w:eastAsia="hr-BA"/>
                          </w:rPr>
                          <w:t>računa</w:t>
                        </w:r>
                      </w:p>
                    </w:tc>
                    <w:tc>
                      <w:tcPr>
                        <w:tcW w:w="2820" w:type="dxa"/>
                        <w:shd w:val="clear" w:color="auto" w:fill="auto"/>
                        <w:vAlign w:val="center"/>
                        <w:hideMark/>
                      </w:tcPr>
                      <w:p w14:paraId="7F64C626"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Bez naknade</w:t>
                        </w:r>
                      </w:p>
                    </w:tc>
                  </w:tr>
                  <w:tr w:rsidR="0045329A" w:rsidRPr="00F317DA" w14:paraId="65294BCC" w14:textId="77777777" w:rsidTr="00BB49FE">
                    <w:trPr>
                      <w:trHeight w:val="210"/>
                    </w:trPr>
                    <w:tc>
                      <w:tcPr>
                        <w:tcW w:w="5260" w:type="dxa"/>
                        <w:shd w:val="clear" w:color="auto" w:fill="auto"/>
                        <w:vAlign w:val="center"/>
                        <w:hideMark/>
                      </w:tcPr>
                      <w:p w14:paraId="5D0744AE" w14:textId="77777777" w:rsidR="0045329A" w:rsidRPr="00F317DA" w:rsidRDefault="0045329A" w:rsidP="00681F52">
                        <w:pPr>
                          <w:spacing w:after="0"/>
                          <w:rPr>
                            <w:rFonts w:ascii="Arial" w:eastAsia="Times New Roman" w:hAnsi="Arial" w:cs="Arial"/>
                            <w:color w:val="000000"/>
                            <w:sz w:val="18"/>
                            <w:szCs w:val="18"/>
                            <w:lang w:eastAsia="hr-BA"/>
                          </w:rPr>
                        </w:pPr>
                        <w:r w:rsidRPr="00D60A1B">
                          <w:rPr>
                            <w:rFonts w:ascii="Arial" w:eastAsia="Times New Roman" w:hAnsi="Arial" w:cs="Arial"/>
                            <w:snapToGrid w:val="0"/>
                            <w:color w:val="000000"/>
                            <w:sz w:val="18"/>
                            <w:szCs w:val="18"/>
                            <w:lang w:val="hr-HR" w:eastAsia="hr-BA"/>
                          </w:rPr>
                          <w:t>Vođenje a vista računa u protuvrijednosti valute za mjesec prometovanja po računu</w:t>
                        </w:r>
                      </w:p>
                    </w:tc>
                    <w:tc>
                      <w:tcPr>
                        <w:tcW w:w="2820" w:type="dxa"/>
                        <w:shd w:val="clear" w:color="auto" w:fill="auto"/>
                        <w:vAlign w:val="center"/>
                        <w:hideMark/>
                      </w:tcPr>
                      <w:p w14:paraId="7AE2AD8F" w14:textId="69BC64A1"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 xml:space="preserve">KM </w:t>
                        </w:r>
                        <w:r w:rsidR="00873968">
                          <w:rPr>
                            <w:rFonts w:ascii="Arial" w:eastAsia="Times New Roman" w:hAnsi="Arial" w:cs="Arial"/>
                            <w:snapToGrid w:val="0"/>
                            <w:color w:val="000000"/>
                            <w:sz w:val="18"/>
                            <w:szCs w:val="18"/>
                            <w:lang w:val="hr-HR" w:eastAsia="hr-BA"/>
                          </w:rPr>
                          <w:t>1,5</w:t>
                        </w:r>
                        <w:r w:rsidRPr="00F317DA">
                          <w:rPr>
                            <w:rFonts w:ascii="Arial" w:eastAsia="Times New Roman" w:hAnsi="Arial" w:cs="Arial"/>
                            <w:snapToGrid w:val="0"/>
                            <w:color w:val="000000"/>
                            <w:sz w:val="18"/>
                            <w:szCs w:val="18"/>
                            <w:lang w:val="hr-HR" w:eastAsia="hr-BA"/>
                          </w:rPr>
                          <w:t>0</w:t>
                        </w:r>
                      </w:p>
                    </w:tc>
                  </w:tr>
                  <w:tr w:rsidR="0045329A" w:rsidRPr="00F317DA" w14:paraId="27BA83AE" w14:textId="77777777" w:rsidTr="00BB49FE">
                    <w:trPr>
                      <w:trHeight w:val="430"/>
                    </w:trPr>
                    <w:tc>
                      <w:tcPr>
                        <w:tcW w:w="5260" w:type="dxa"/>
                        <w:shd w:val="clear" w:color="auto" w:fill="auto"/>
                        <w:vAlign w:val="center"/>
                        <w:hideMark/>
                      </w:tcPr>
                      <w:p w14:paraId="7C4DACE5"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Vođenje a vista neaktivnih računa, sve dok na</w:t>
                        </w:r>
                      </w:p>
                      <w:p w14:paraId="4AEEBA96"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računu ima sredstava</w:t>
                        </w:r>
                      </w:p>
                    </w:tc>
                    <w:tc>
                      <w:tcPr>
                        <w:tcW w:w="2820" w:type="dxa"/>
                        <w:shd w:val="clear" w:color="auto" w:fill="auto"/>
                        <w:vAlign w:val="center"/>
                        <w:hideMark/>
                      </w:tcPr>
                      <w:p w14:paraId="4378EDD3" w14:textId="1A8E878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KM 1,</w:t>
                        </w:r>
                        <w:r w:rsidR="00BC4FEF">
                          <w:rPr>
                            <w:rFonts w:ascii="Arial" w:eastAsia="Times New Roman" w:hAnsi="Arial" w:cs="Arial"/>
                            <w:snapToGrid w:val="0"/>
                            <w:color w:val="000000"/>
                            <w:sz w:val="18"/>
                            <w:szCs w:val="18"/>
                            <w:lang w:val="hr-HR" w:eastAsia="hr-BA"/>
                          </w:rPr>
                          <w:t>5</w:t>
                        </w:r>
                        <w:r w:rsidRPr="00F317DA">
                          <w:rPr>
                            <w:rFonts w:ascii="Arial" w:eastAsia="Times New Roman" w:hAnsi="Arial" w:cs="Arial"/>
                            <w:snapToGrid w:val="0"/>
                            <w:color w:val="000000"/>
                            <w:sz w:val="18"/>
                            <w:szCs w:val="18"/>
                            <w:lang w:val="hr-HR" w:eastAsia="hr-BA"/>
                          </w:rPr>
                          <w:t>0</w:t>
                        </w:r>
                      </w:p>
                      <w:p w14:paraId="11488F9F" w14:textId="77777777" w:rsidR="0045329A" w:rsidRPr="00F317DA" w:rsidRDefault="0045329A" w:rsidP="00681F52">
                        <w:pPr>
                          <w:spacing w:after="0"/>
                          <w:rPr>
                            <w:rFonts w:ascii="Arial" w:eastAsia="Times New Roman" w:hAnsi="Arial" w:cs="Arial"/>
                            <w:color w:val="000000"/>
                            <w:sz w:val="18"/>
                            <w:szCs w:val="18"/>
                            <w:lang w:eastAsia="hr-BA"/>
                          </w:rPr>
                        </w:pPr>
                      </w:p>
                    </w:tc>
                  </w:tr>
                  <w:tr w:rsidR="0045329A" w:rsidRPr="00F317DA" w14:paraId="42421BAA" w14:textId="77777777" w:rsidTr="00BB49FE">
                    <w:trPr>
                      <w:trHeight w:val="210"/>
                    </w:trPr>
                    <w:tc>
                      <w:tcPr>
                        <w:tcW w:w="5260" w:type="dxa"/>
                        <w:shd w:val="clear" w:color="auto" w:fill="auto"/>
                        <w:vAlign w:val="center"/>
                        <w:hideMark/>
                      </w:tcPr>
                      <w:p w14:paraId="780AA5FD" w14:textId="77777777" w:rsidR="0045329A" w:rsidRPr="00F317DA" w:rsidRDefault="0045329A" w:rsidP="00681F52">
                        <w:pPr>
                          <w:spacing w:after="0"/>
                          <w:rPr>
                            <w:rFonts w:ascii="Arial" w:eastAsia="Times New Roman" w:hAnsi="Arial" w:cs="Arial"/>
                            <w:color w:val="000000"/>
                            <w:sz w:val="18"/>
                            <w:szCs w:val="18"/>
                            <w:lang w:eastAsia="hr-BA"/>
                          </w:rPr>
                        </w:pPr>
                        <w:r>
                          <w:rPr>
                            <w:rFonts w:ascii="Arial" w:eastAsia="Times New Roman" w:hAnsi="Arial" w:cs="Arial"/>
                            <w:snapToGrid w:val="0"/>
                            <w:color w:val="000000"/>
                            <w:sz w:val="18"/>
                            <w:szCs w:val="18"/>
                            <w:lang w:val="hr-HR" w:eastAsia="hr-BA"/>
                          </w:rPr>
                          <w:t>Uplate i isplate sa/na a vista</w:t>
                        </w:r>
                        <w:r w:rsidRPr="00F317DA">
                          <w:rPr>
                            <w:rFonts w:ascii="Arial" w:eastAsia="Times New Roman" w:hAnsi="Arial" w:cs="Arial"/>
                            <w:snapToGrid w:val="0"/>
                            <w:color w:val="000000"/>
                            <w:sz w:val="18"/>
                            <w:szCs w:val="18"/>
                            <w:lang w:val="hr-HR" w:eastAsia="hr-BA"/>
                          </w:rPr>
                          <w:t xml:space="preserve"> račun</w:t>
                        </w:r>
                      </w:p>
                    </w:tc>
                    <w:tc>
                      <w:tcPr>
                        <w:tcW w:w="2820" w:type="dxa"/>
                        <w:shd w:val="clear" w:color="auto" w:fill="auto"/>
                        <w:vAlign w:val="center"/>
                        <w:hideMark/>
                      </w:tcPr>
                      <w:p w14:paraId="4B8ED9B0"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Bez naknade</w:t>
                        </w:r>
                      </w:p>
                    </w:tc>
                  </w:tr>
                  <w:tr w:rsidR="0045329A" w:rsidRPr="00F317DA" w14:paraId="764DE06F" w14:textId="77777777" w:rsidTr="00BB49FE">
                    <w:trPr>
                      <w:trHeight w:val="210"/>
                    </w:trPr>
                    <w:tc>
                      <w:tcPr>
                        <w:tcW w:w="5260" w:type="dxa"/>
                        <w:shd w:val="clear" w:color="auto" w:fill="auto"/>
                        <w:vAlign w:val="center"/>
                        <w:hideMark/>
                      </w:tcPr>
                      <w:p w14:paraId="7D2C23B8"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Naknada za prijevremeni raskid ugovora o oročenju</w:t>
                        </w:r>
                      </w:p>
                    </w:tc>
                    <w:tc>
                      <w:tcPr>
                        <w:tcW w:w="2820" w:type="dxa"/>
                        <w:shd w:val="clear" w:color="auto" w:fill="auto"/>
                        <w:vAlign w:val="center"/>
                        <w:hideMark/>
                      </w:tcPr>
                      <w:p w14:paraId="21633751" w14:textId="77777777" w:rsidR="0045329A" w:rsidRPr="00F317DA" w:rsidRDefault="0045329A" w:rsidP="00681F52">
                        <w:pPr>
                          <w:spacing w:after="0"/>
                          <w:rPr>
                            <w:rFonts w:ascii="Arial" w:eastAsia="Times New Roman" w:hAnsi="Arial" w:cs="Arial"/>
                            <w:color w:val="000000"/>
                            <w:sz w:val="18"/>
                            <w:szCs w:val="18"/>
                            <w:lang w:eastAsia="hr-BA"/>
                          </w:rPr>
                        </w:pPr>
                        <w:r w:rsidRPr="00F317DA">
                          <w:rPr>
                            <w:rFonts w:ascii="Arial" w:eastAsia="Times New Roman" w:hAnsi="Arial" w:cs="Arial"/>
                            <w:snapToGrid w:val="0"/>
                            <w:color w:val="000000"/>
                            <w:sz w:val="18"/>
                            <w:szCs w:val="18"/>
                            <w:lang w:val="hr-HR" w:eastAsia="hr-BA"/>
                          </w:rPr>
                          <w:t>Bez naknade</w:t>
                        </w:r>
                      </w:p>
                    </w:tc>
                  </w:tr>
                  <w:tr w:rsidR="0045329A" w:rsidRPr="00F317DA" w14:paraId="46E89473" w14:textId="77777777" w:rsidTr="00BB49FE">
                    <w:trPr>
                      <w:trHeight w:val="210"/>
                    </w:trPr>
                    <w:tc>
                      <w:tcPr>
                        <w:tcW w:w="5260" w:type="dxa"/>
                        <w:shd w:val="clear" w:color="auto" w:fill="auto"/>
                        <w:vAlign w:val="center"/>
                      </w:tcPr>
                      <w:p w14:paraId="24A80381" w14:textId="77777777" w:rsidR="0045329A" w:rsidRPr="00F317DA" w:rsidRDefault="0045329A" w:rsidP="00681F52">
                        <w:pPr>
                          <w:spacing w:after="0"/>
                          <w:rPr>
                            <w:rFonts w:ascii="Arial" w:eastAsia="Times New Roman" w:hAnsi="Arial" w:cs="Arial"/>
                            <w:snapToGrid w:val="0"/>
                            <w:color w:val="000000"/>
                            <w:sz w:val="18"/>
                            <w:szCs w:val="18"/>
                            <w:lang w:val="hr-HR" w:eastAsia="hr-BA"/>
                          </w:rPr>
                        </w:pPr>
                        <w:r w:rsidRPr="00F317DA">
                          <w:rPr>
                            <w:rFonts w:ascii="Arial" w:eastAsia="Times New Roman" w:hAnsi="Arial" w:cs="Arial"/>
                            <w:snapToGrid w:val="0"/>
                            <w:color w:val="000000"/>
                            <w:sz w:val="18"/>
                            <w:szCs w:val="18"/>
                            <w:lang w:val="hr-HR" w:eastAsia="hr-BA"/>
                          </w:rPr>
                          <w:t>Izdavanje štedne knjižice</w:t>
                        </w:r>
                      </w:p>
                    </w:tc>
                    <w:tc>
                      <w:tcPr>
                        <w:tcW w:w="2820" w:type="dxa"/>
                        <w:shd w:val="clear" w:color="auto" w:fill="auto"/>
                        <w:vAlign w:val="center"/>
                      </w:tcPr>
                      <w:p w14:paraId="5C9B2508" w14:textId="77777777" w:rsidR="0045329A" w:rsidRPr="00F317DA" w:rsidRDefault="0045329A" w:rsidP="00681F52">
                        <w:pPr>
                          <w:spacing w:after="0"/>
                          <w:rPr>
                            <w:rFonts w:ascii="Arial" w:eastAsia="Times New Roman" w:hAnsi="Arial" w:cs="Arial"/>
                            <w:snapToGrid w:val="0"/>
                            <w:color w:val="000000"/>
                            <w:sz w:val="18"/>
                            <w:szCs w:val="18"/>
                            <w:lang w:val="hr-HR" w:eastAsia="hr-BA"/>
                          </w:rPr>
                        </w:pPr>
                        <w:r w:rsidRPr="00F317DA">
                          <w:rPr>
                            <w:rFonts w:ascii="Arial" w:eastAsia="Times New Roman" w:hAnsi="Arial" w:cs="Arial"/>
                            <w:snapToGrid w:val="0"/>
                            <w:color w:val="000000"/>
                            <w:sz w:val="18"/>
                            <w:szCs w:val="18"/>
                            <w:lang w:val="hr-HR" w:eastAsia="hr-BA"/>
                          </w:rPr>
                          <w:t>Bez naknade</w:t>
                        </w:r>
                      </w:p>
                    </w:tc>
                  </w:tr>
                  <w:tr w:rsidR="0045329A" w:rsidRPr="00F317DA" w14:paraId="5AB4D5C4" w14:textId="77777777" w:rsidTr="00BB49FE">
                    <w:trPr>
                      <w:trHeight w:val="210"/>
                    </w:trPr>
                    <w:tc>
                      <w:tcPr>
                        <w:tcW w:w="5260" w:type="dxa"/>
                        <w:shd w:val="clear" w:color="auto" w:fill="auto"/>
                        <w:vAlign w:val="center"/>
                      </w:tcPr>
                      <w:p w14:paraId="6393D2DF" w14:textId="77777777" w:rsidR="0045329A" w:rsidRPr="00F317DA" w:rsidRDefault="0045329A" w:rsidP="00681F52">
                        <w:pPr>
                          <w:spacing w:after="0"/>
                          <w:rPr>
                            <w:rFonts w:ascii="Arial" w:eastAsia="Times New Roman" w:hAnsi="Arial" w:cs="Arial"/>
                            <w:snapToGrid w:val="0"/>
                            <w:color w:val="000000"/>
                            <w:sz w:val="18"/>
                            <w:szCs w:val="18"/>
                            <w:lang w:val="hr-HR" w:eastAsia="hr-BA"/>
                          </w:rPr>
                        </w:pPr>
                        <w:r w:rsidRPr="00D60A1B">
                          <w:rPr>
                            <w:rFonts w:ascii="Arial" w:eastAsia="Times New Roman" w:hAnsi="Arial" w:cs="Arial"/>
                            <w:snapToGrid w:val="0"/>
                            <w:color w:val="000000"/>
                            <w:sz w:val="18"/>
                            <w:szCs w:val="18"/>
                            <w:lang w:val="hr-HR" w:eastAsia="hr-BA"/>
                          </w:rPr>
                          <w:t>Izrada izvoda koji se podiže u Banci</w:t>
                        </w:r>
                      </w:p>
                    </w:tc>
                    <w:tc>
                      <w:tcPr>
                        <w:tcW w:w="2820" w:type="dxa"/>
                        <w:shd w:val="clear" w:color="auto" w:fill="auto"/>
                        <w:vAlign w:val="center"/>
                      </w:tcPr>
                      <w:p w14:paraId="390D9FB6" w14:textId="77777777" w:rsidR="0045329A" w:rsidRPr="00F317DA" w:rsidRDefault="0045329A" w:rsidP="00681F52">
                        <w:pPr>
                          <w:spacing w:after="0"/>
                          <w:rPr>
                            <w:rFonts w:ascii="Arial" w:eastAsia="Times New Roman" w:hAnsi="Arial" w:cs="Arial"/>
                            <w:snapToGrid w:val="0"/>
                            <w:color w:val="000000"/>
                            <w:sz w:val="18"/>
                            <w:szCs w:val="18"/>
                            <w:lang w:val="hr-HR" w:eastAsia="hr-BA"/>
                          </w:rPr>
                        </w:pPr>
                        <w:r w:rsidRPr="00F317DA">
                          <w:rPr>
                            <w:rFonts w:ascii="Arial" w:eastAsia="Times New Roman" w:hAnsi="Arial" w:cs="Arial"/>
                            <w:snapToGrid w:val="0"/>
                            <w:color w:val="000000"/>
                            <w:sz w:val="18"/>
                            <w:szCs w:val="18"/>
                            <w:lang w:val="hr-HR" w:eastAsia="hr-BA"/>
                          </w:rPr>
                          <w:t>Bez naknade</w:t>
                        </w:r>
                      </w:p>
                    </w:tc>
                  </w:tr>
                  <w:tr w:rsidR="00542935" w:rsidRPr="00F317DA" w14:paraId="4CC2173F" w14:textId="77777777" w:rsidTr="00BB49FE">
                    <w:trPr>
                      <w:trHeight w:val="210"/>
                    </w:trPr>
                    <w:tc>
                      <w:tcPr>
                        <w:tcW w:w="5260" w:type="dxa"/>
                        <w:shd w:val="clear" w:color="auto" w:fill="auto"/>
                        <w:vAlign w:val="center"/>
                      </w:tcPr>
                      <w:p w14:paraId="79E7BFE5" w14:textId="77777777" w:rsidR="00542935" w:rsidRDefault="00542935" w:rsidP="00681F52">
                        <w:pPr>
                          <w:spacing w:after="0"/>
                          <w:rPr>
                            <w:rFonts w:ascii="Arial" w:eastAsia="Times New Roman" w:hAnsi="Arial" w:cs="Arial"/>
                            <w:snapToGrid w:val="0"/>
                            <w:color w:val="000000"/>
                            <w:sz w:val="18"/>
                            <w:szCs w:val="18"/>
                            <w:lang w:val="hr-HR" w:eastAsia="hr-BA"/>
                          </w:rPr>
                        </w:pPr>
                        <w:r>
                          <w:rPr>
                            <w:rFonts w:ascii="Arial" w:eastAsia="Times New Roman" w:hAnsi="Arial" w:cs="Arial"/>
                            <w:snapToGrid w:val="0"/>
                            <w:color w:val="000000"/>
                            <w:sz w:val="18"/>
                            <w:szCs w:val="18"/>
                            <w:lang w:val="hr-HR" w:eastAsia="hr-BA"/>
                          </w:rPr>
                          <w:t>Izdavanje potvrda:</w:t>
                        </w:r>
                      </w:p>
                      <w:p w14:paraId="37ED6540" w14:textId="555048AE" w:rsidR="00542935" w:rsidRPr="00D60A1B" w:rsidRDefault="00542935" w:rsidP="00681F52">
                        <w:pPr>
                          <w:spacing w:after="0"/>
                          <w:rPr>
                            <w:rFonts w:ascii="Arial" w:eastAsia="Times New Roman" w:hAnsi="Arial" w:cs="Arial"/>
                            <w:snapToGrid w:val="0"/>
                            <w:color w:val="000000"/>
                            <w:sz w:val="18"/>
                            <w:szCs w:val="18"/>
                            <w:lang w:val="hr-HR" w:eastAsia="hr-BA"/>
                          </w:rPr>
                        </w:pPr>
                        <w:r>
                          <w:rPr>
                            <w:rFonts w:ascii="Arial" w:eastAsia="Times New Roman" w:hAnsi="Arial" w:cs="Arial"/>
                            <w:snapToGrid w:val="0"/>
                            <w:color w:val="000000"/>
                            <w:sz w:val="18"/>
                            <w:szCs w:val="18"/>
                            <w:lang w:val="hr-HR" w:eastAsia="hr-BA"/>
                          </w:rPr>
                          <w:t>potvrda o broju računa, potvrda o stanju na računu, potvrda o realizaciji transakcija sa računa, dodatni izvještaj o prometgu računa i sl.</w:t>
                        </w:r>
                      </w:p>
                    </w:tc>
                    <w:tc>
                      <w:tcPr>
                        <w:tcW w:w="2820" w:type="dxa"/>
                        <w:shd w:val="clear" w:color="auto" w:fill="auto"/>
                        <w:vAlign w:val="center"/>
                      </w:tcPr>
                      <w:p w14:paraId="2952137B" w14:textId="0C1D290A" w:rsidR="00542935" w:rsidRPr="00F317DA" w:rsidRDefault="00542935" w:rsidP="00681F52">
                        <w:pPr>
                          <w:spacing w:after="0"/>
                          <w:rPr>
                            <w:rFonts w:ascii="Arial" w:eastAsia="Times New Roman" w:hAnsi="Arial" w:cs="Arial"/>
                            <w:snapToGrid w:val="0"/>
                            <w:color w:val="000000"/>
                            <w:sz w:val="18"/>
                            <w:szCs w:val="18"/>
                            <w:lang w:val="hr-HR" w:eastAsia="hr-BA"/>
                          </w:rPr>
                        </w:pPr>
                        <w:r>
                          <w:rPr>
                            <w:rFonts w:ascii="Arial" w:eastAsia="Times New Roman" w:hAnsi="Arial" w:cs="Arial"/>
                            <w:snapToGrid w:val="0"/>
                            <w:color w:val="000000"/>
                            <w:sz w:val="18"/>
                            <w:szCs w:val="18"/>
                            <w:lang w:val="hr-HR" w:eastAsia="hr-BA"/>
                          </w:rPr>
                          <w:t>KM 10,00 (sa uključenim PDV-om)</w:t>
                        </w:r>
                      </w:p>
                    </w:tc>
                  </w:tr>
                </w:tbl>
                <w:p w14:paraId="06E926FE" w14:textId="77777777" w:rsidR="0045329A" w:rsidRPr="00F317DA" w:rsidRDefault="0045329A" w:rsidP="00542935">
                  <w:pPr>
                    <w:spacing w:after="0"/>
                    <w:rPr>
                      <w:rFonts w:ascii="Arial" w:eastAsia="Times New Roman" w:hAnsi="Arial" w:cs="Arial"/>
                      <w:color w:val="000000"/>
                      <w:sz w:val="18"/>
                      <w:szCs w:val="18"/>
                      <w:lang w:eastAsia="hr-BA"/>
                    </w:rPr>
                  </w:pPr>
                </w:p>
              </w:tc>
              <w:tc>
                <w:tcPr>
                  <w:tcW w:w="2569" w:type="dxa"/>
                  <w:tcBorders>
                    <w:top w:val="nil"/>
                    <w:left w:val="nil"/>
                    <w:bottom w:val="nil"/>
                    <w:right w:val="nil"/>
                  </w:tcBorders>
                  <w:shd w:val="clear" w:color="auto" w:fill="auto"/>
                  <w:vAlign w:val="center"/>
                  <w:hideMark/>
                </w:tcPr>
                <w:p w14:paraId="3989840A" w14:textId="77777777" w:rsidR="0045329A" w:rsidRPr="00F317DA" w:rsidRDefault="0045329A" w:rsidP="00542935">
                  <w:pPr>
                    <w:spacing w:after="0"/>
                    <w:rPr>
                      <w:rFonts w:ascii="Arial" w:eastAsia="Times New Roman" w:hAnsi="Arial" w:cs="Arial"/>
                      <w:color w:val="000000"/>
                      <w:sz w:val="18"/>
                      <w:szCs w:val="18"/>
                      <w:lang w:eastAsia="hr-BA"/>
                    </w:rPr>
                  </w:pPr>
                </w:p>
              </w:tc>
            </w:tr>
          </w:tbl>
          <w:p w14:paraId="3D5D0AA2" w14:textId="77777777" w:rsidR="0045329A" w:rsidRPr="00F317DA" w:rsidRDefault="0045329A" w:rsidP="00542935">
            <w:pPr>
              <w:spacing w:after="0"/>
              <w:rPr>
                <w:rFonts w:ascii="Arial" w:hAnsi="Arial" w:cs="Arial"/>
                <w:snapToGrid w:val="0"/>
                <w:sz w:val="18"/>
                <w:szCs w:val="18"/>
                <w:lang w:val="pl-PL"/>
              </w:rPr>
            </w:pPr>
          </w:p>
        </w:tc>
      </w:tr>
      <w:tr w:rsidR="0045329A" w:rsidRPr="00F317DA" w14:paraId="54318822" w14:textId="77777777" w:rsidTr="00BB49FE">
        <w:trPr>
          <w:gridAfter w:val="1"/>
          <w:wAfter w:w="65" w:type="pct"/>
        </w:trPr>
        <w:tc>
          <w:tcPr>
            <w:tcW w:w="755" w:type="pct"/>
            <w:tcBorders>
              <w:top w:val="dotted" w:sz="4" w:space="0" w:color="808080"/>
              <w:bottom w:val="dotted" w:sz="4" w:space="0" w:color="808080"/>
              <w:right w:val="single" w:sz="4" w:space="0" w:color="7F7F7F"/>
            </w:tcBorders>
            <w:shd w:val="clear" w:color="auto" w:fill="FFFFFF"/>
          </w:tcPr>
          <w:p w14:paraId="4E5457AA" w14:textId="47E1C563" w:rsidR="0045329A" w:rsidRPr="00F317DA" w:rsidRDefault="0045329A" w:rsidP="00542935">
            <w:pPr>
              <w:spacing w:after="0"/>
              <w:rPr>
                <w:rFonts w:ascii="Arial" w:eastAsia="Times New Roman" w:hAnsi="Arial" w:cs="Arial"/>
                <w:b/>
                <w:bCs/>
                <w:i/>
                <w:iCs/>
                <w:sz w:val="18"/>
                <w:szCs w:val="18"/>
              </w:rPr>
            </w:pPr>
            <w:r>
              <w:rPr>
                <w:rFonts w:ascii="Arial" w:eastAsia="Times New Roman" w:hAnsi="Arial" w:cs="Arial"/>
                <w:b/>
                <w:bCs/>
                <w:i/>
                <w:iCs/>
                <w:sz w:val="18"/>
                <w:szCs w:val="18"/>
              </w:rPr>
              <w:t>Trajanje u</w:t>
            </w:r>
            <w:r w:rsidRPr="00F317DA">
              <w:rPr>
                <w:rFonts w:ascii="Arial" w:eastAsia="Times New Roman" w:hAnsi="Arial" w:cs="Arial"/>
                <w:b/>
                <w:bCs/>
                <w:i/>
                <w:iCs/>
                <w:sz w:val="18"/>
                <w:szCs w:val="18"/>
              </w:rPr>
              <w:t>govora</w:t>
            </w:r>
          </w:p>
        </w:tc>
        <w:tc>
          <w:tcPr>
            <w:tcW w:w="4180" w:type="pct"/>
            <w:tcBorders>
              <w:top w:val="dotted" w:sz="4" w:space="0" w:color="808080"/>
              <w:bottom w:val="dotted" w:sz="4" w:space="0" w:color="808080"/>
            </w:tcBorders>
            <w:shd w:val="clear" w:color="auto" w:fill="auto"/>
          </w:tcPr>
          <w:p w14:paraId="14B3E3A9" w14:textId="27A10436" w:rsidR="0045329A" w:rsidRPr="005710A2" w:rsidRDefault="0045329A" w:rsidP="00542935">
            <w:pPr>
              <w:spacing w:after="0"/>
              <w:jc w:val="both"/>
              <w:rPr>
                <w:rFonts w:ascii="Arial" w:hAnsi="Arial" w:cs="Arial"/>
                <w:bCs/>
                <w:sz w:val="18"/>
                <w:szCs w:val="18"/>
              </w:rPr>
            </w:pPr>
            <w:r w:rsidRPr="00F317DA">
              <w:rPr>
                <w:rFonts w:ascii="Arial" w:hAnsi="Arial" w:cs="Arial"/>
                <w:sz w:val="18"/>
                <w:szCs w:val="18"/>
              </w:rPr>
              <w:t xml:space="preserve">Ugovor se zaključuje na određeni </w:t>
            </w:r>
            <w:r w:rsidRPr="00F317DA">
              <w:rPr>
                <w:rFonts w:ascii="Arial" w:hAnsi="Arial" w:cs="Arial"/>
                <w:bCs/>
                <w:sz w:val="18"/>
                <w:szCs w:val="18"/>
              </w:rPr>
              <w:t>period uz mogućnost automatskog obnavljanja (samo glavnice na isti rok oročenja) uz primjenu važećih kamatnih stopa u momentu obnavljanja ugovora.</w:t>
            </w:r>
          </w:p>
        </w:tc>
      </w:tr>
      <w:tr w:rsidR="0045329A" w:rsidRPr="00F317DA" w14:paraId="65D40C4F" w14:textId="77777777" w:rsidTr="00BB49FE">
        <w:trPr>
          <w:gridAfter w:val="1"/>
          <w:wAfter w:w="65" w:type="pct"/>
        </w:trPr>
        <w:tc>
          <w:tcPr>
            <w:tcW w:w="755" w:type="pct"/>
            <w:tcBorders>
              <w:top w:val="dotted" w:sz="4" w:space="0" w:color="808080"/>
              <w:bottom w:val="dotted" w:sz="4" w:space="0" w:color="808080"/>
              <w:right w:val="single" w:sz="4" w:space="0" w:color="7F7F7F"/>
            </w:tcBorders>
            <w:shd w:val="clear" w:color="auto" w:fill="FFFFFF"/>
          </w:tcPr>
          <w:p w14:paraId="0B4073F8" w14:textId="77898A8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Raspolaganje uloženim sredstvima</w:t>
            </w:r>
          </w:p>
        </w:tc>
        <w:tc>
          <w:tcPr>
            <w:tcW w:w="4180" w:type="pct"/>
            <w:tcBorders>
              <w:top w:val="dotted" w:sz="4" w:space="0" w:color="808080"/>
              <w:bottom w:val="dotted" w:sz="4" w:space="0" w:color="808080"/>
            </w:tcBorders>
            <w:shd w:val="clear" w:color="auto" w:fill="auto"/>
          </w:tcPr>
          <w:p w14:paraId="42ADAEFC" w14:textId="77777777" w:rsidR="0045329A" w:rsidRDefault="0045329A" w:rsidP="00542935">
            <w:pPr>
              <w:spacing w:after="0"/>
              <w:rPr>
                <w:rFonts w:ascii="Arial" w:hAnsi="Arial" w:cs="Arial"/>
                <w:sz w:val="18"/>
                <w:szCs w:val="18"/>
              </w:rPr>
            </w:pPr>
          </w:p>
          <w:p w14:paraId="1C1ED4BD" w14:textId="77777777" w:rsidR="0045329A" w:rsidRPr="00F317DA" w:rsidRDefault="0045329A" w:rsidP="00542935">
            <w:pPr>
              <w:spacing w:after="0"/>
              <w:rPr>
                <w:rFonts w:ascii="Arial" w:hAnsi="Arial" w:cs="Arial"/>
                <w:sz w:val="18"/>
                <w:szCs w:val="18"/>
              </w:rPr>
            </w:pPr>
            <w:r w:rsidRPr="00F317DA">
              <w:rPr>
                <w:rFonts w:ascii="Arial" w:hAnsi="Arial" w:cs="Arial"/>
                <w:sz w:val="18"/>
                <w:szCs w:val="18"/>
              </w:rPr>
              <w:t>Raspolaganje sredstvima po isteku ugovorenog roka oročenja.</w:t>
            </w:r>
          </w:p>
        </w:tc>
      </w:tr>
      <w:tr w:rsidR="0045329A" w:rsidRPr="00F317DA" w14:paraId="3F82C217" w14:textId="77777777" w:rsidTr="00BB49FE">
        <w:trPr>
          <w:gridAfter w:val="1"/>
          <w:wAfter w:w="65" w:type="pct"/>
        </w:trPr>
        <w:tc>
          <w:tcPr>
            <w:tcW w:w="755" w:type="pct"/>
            <w:tcBorders>
              <w:top w:val="dotted" w:sz="4" w:space="0" w:color="808080"/>
              <w:bottom w:val="dotted" w:sz="4" w:space="0" w:color="808080"/>
              <w:right w:val="single" w:sz="4" w:space="0" w:color="7F7F7F"/>
            </w:tcBorders>
            <w:shd w:val="clear" w:color="auto" w:fill="FFFFFF"/>
          </w:tcPr>
          <w:p w14:paraId="11E35830" w14:textId="101626D2"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Prijevremeni raskid</w:t>
            </w:r>
            <w:r>
              <w:rPr>
                <w:rFonts w:ascii="Arial" w:eastAsia="Times New Roman" w:hAnsi="Arial" w:cs="Arial"/>
                <w:b/>
                <w:bCs/>
                <w:i/>
                <w:iCs/>
                <w:sz w:val="18"/>
                <w:szCs w:val="18"/>
              </w:rPr>
              <w:t xml:space="preserve"> </w:t>
            </w:r>
            <w:r w:rsidRPr="00F317DA">
              <w:rPr>
                <w:rFonts w:ascii="Arial" w:eastAsia="Times New Roman" w:hAnsi="Arial" w:cs="Arial"/>
                <w:b/>
                <w:bCs/>
                <w:i/>
                <w:iCs/>
                <w:sz w:val="18"/>
                <w:szCs w:val="18"/>
              </w:rPr>
              <w:t>/</w:t>
            </w:r>
            <w:r>
              <w:rPr>
                <w:rFonts w:ascii="Arial" w:eastAsia="Times New Roman" w:hAnsi="Arial" w:cs="Arial"/>
                <w:b/>
                <w:bCs/>
                <w:i/>
                <w:iCs/>
                <w:sz w:val="18"/>
                <w:szCs w:val="18"/>
              </w:rPr>
              <w:t xml:space="preserve"> </w:t>
            </w:r>
            <w:r w:rsidRPr="00F317DA">
              <w:rPr>
                <w:rFonts w:ascii="Arial" w:eastAsia="Times New Roman" w:hAnsi="Arial" w:cs="Arial"/>
                <w:b/>
                <w:bCs/>
                <w:i/>
                <w:iCs/>
                <w:sz w:val="18"/>
                <w:szCs w:val="18"/>
              </w:rPr>
              <w:t>izmjena uslova</w:t>
            </w:r>
            <w:r>
              <w:rPr>
                <w:rFonts w:ascii="Arial" w:eastAsia="Times New Roman" w:hAnsi="Arial" w:cs="Arial"/>
                <w:b/>
                <w:bCs/>
                <w:i/>
                <w:iCs/>
                <w:sz w:val="18"/>
                <w:szCs w:val="18"/>
              </w:rPr>
              <w:t xml:space="preserve"> </w:t>
            </w:r>
            <w:r w:rsidRPr="00F317DA">
              <w:rPr>
                <w:rFonts w:ascii="Arial" w:eastAsia="Times New Roman" w:hAnsi="Arial" w:cs="Arial"/>
                <w:b/>
                <w:bCs/>
                <w:i/>
                <w:iCs/>
                <w:sz w:val="18"/>
                <w:szCs w:val="18"/>
              </w:rPr>
              <w:t>/</w:t>
            </w:r>
            <w:r>
              <w:rPr>
                <w:rFonts w:ascii="Arial" w:eastAsia="Times New Roman" w:hAnsi="Arial" w:cs="Arial"/>
                <w:b/>
                <w:bCs/>
                <w:i/>
                <w:iCs/>
                <w:sz w:val="18"/>
                <w:szCs w:val="18"/>
              </w:rPr>
              <w:t xml:space="preserve"> </w:t>
            </w:r>
            <w:r w:rsidRPr="00F317DA">
              <w:rPr>
                <w:rFonts w:ascii="Arial" w:eastAsia="Times New Roman" w:hAnsi="Arial" w:cs="Arial"/>
                <w:b/>
                <w:bCs/>
                <w:i/>
                <w:iCs/>
                <w:sz w:val="18"/>
                <w:szCs w:val="18"/>
              </w:rPr>
              <w:t>odustajanje od ugovora</w:t>
            </w:r>
          </w:p>
        </w:tc>
        <w:tc>
          <w:tcPr>
            <w:tcW w:w="4180" w:type="pct"/>
            <w:tcBorders>
              <w:top w:val="dotted" w:sz="4" w:space="0" w:color="808080"/>
              <w:bottom w:val="dotted" w:sz="4" w:space="0" w:color="808080"/>
            </w:tcBorders>
            <w:shd w:val="clear" w:color="auto" w:fill="auto"/>
          </w:tcPr>
          <w:p w14:paraId="709D0FF8" w14:textId="4683895A" w:rsidR="0045329A" w:rsidRPr="00F317DA" w:rsidRDefault="0045329A" w:rsidP="00542935">
            <w:pPr>
              <w:spacing w:after="0"/>
              <w:jc w:val="both"/>
              <w:rPr>
                <w:rFonts w:ascii="Arial" w:eastAsia="Times New Roman" w:hAnsi="Arial" w:cs="Arial"/>
                <w:color w:val="000000"/>
                <w:sz w:val="18"/>
                <w:szCs w:val="18"/>
                <w:lang w:val="hr-HR" w:eastAsia="hr-BA"/>
              </w:rPr>
            </w:pPr>
            <w:r w:rsidRPr="00BC6738">
              <w:rPr>
                <w:rFonts w:ascii="Arial" w:eastAsia="Times New Roman" w:hAnsi="Arial" w:cs="Arial"/>
                <w:color w:val="000000"/>
                <w:sz w:val="18"/>
                <w:szCs w:val="18"/>
                <w:lang w:val="hr-HR" w:eastAsia="hr-BA"/>
              </w:rPr>
              <w:t>Prijevremeni raskid oročenja je moguć samo u izuzetnim slučajevima</w:t>
            </w:r>
            <w:r>
              <w:rPr>
                <w:rFonts w:ascii="Arial" w:eastAsia="Times New Roman" w:hAnsi="Arial" w:cs="Arial"/>
                <w:color w:val="000000"/>
                <w:sz w:val="18"/>
                <w:szCs w:val="18"/>
                <w:lang w:val="hr-HR" w:eastAsia="hr-BA"/>
              </w:rPr>
              <w:t xml:space="preserve"> </w:t>
            </w:r>
            <w:r w:rsidRPr="00F317DA">
              <w:rPr>
                <w:rFonts w:ascii="Arial" w:eastAsia="Times New Roman" w:hAnsi="Arial" w:cs="Arial"/>
                <w:color w:val="000000"/>
                <w:sz w:val="18"/>
                <w:szCs w:val="18"/>
                <w:lang w:val="hr-HR" w:eastAsia="hr-BA"/>
              </w:rPr>
              <w:t>uz podnošenje pismenog zahtjeva i uz navođenje razloga prijev</w:t>
            </w:r>
            <w:r>
              <w:rPr>
                <w:rFonts w:ascii="Arial" w:eastAsia="Times New Roman" w:hAnsi="Arial" w:cs="Arial"/>
                <w:color w:val="000000"/>
                <w:sz w:val="18"/>
                <w:szCs w:val="18"/>
                <w:lang w:val="hr-HR" w:eastAsia="hr-BA"/>
              </w:rPr>
              <w:t>remenog raskida. Uz pismeni zahtjev, d</w:t>
            </w:r>
            <w:r w:rsidRPr="00F317DA">
              <w:rPr>
                <w:rFonts w:ascii="Arial" w:eastAsia="Times New Roman" w:hAnsi="Arial" w:cs="Arial"/>
                <w:color w:val="000000"/>
                <w:sz w:val="18"/>
                <w:szCs w:val="18"/>
                <w:lang w:val="hr-HR" w:eastAsia="hr-BA"/>
              </w:rPr>
              <w:t>ep</w:t>
            </w:r>
            <w:r>
              <w:rPr>
                <w:rFonts w:ascii="Arial" w:eastAsia="Times New Roman" w:hAnsi="Arial" w:cs="Arial"/>
                <w:color w:val="000000"/>
                <w:sz w:val="18"/>
                <w:szCs w:val="18"/>
                <w:lang w:val="hr-HR" w:eastAsia="hr-BA"/>
              </w:rPr>
              <w:t>onent je dužan priložiti i adekvatnu  dokumentaciju koja se odnosi na</w:t>
            </w:r>
            <w:r w:rsidRPr="00F317DA">
              <w:rPr>
                <w:rFonts w:ascii="Arial" w:eastAsia="Times New Roman" w:hAnsi="Arial" w:cs="Arial"/>
                <w:color w:val="000000"/>
                <w:sz w:val="18"/>
                <w:szCs w:val="18"/>
                <w:lang w:val="hr-HR" w:eastAsia="hr-BA"/>
              </w:rPr>
              <w:t xml:space="preserve"> razlog prijevremenog raskida oročenog depozita, kao i pisanu instrukciju o načinu disponiranja novčanim sredstvima.</w:t>
            </w:r>
          </w:p>
          <w:p w14:paraId="547A9FB1" w14:textId="77777777" w:rsidR="0045329A" w:rsidRPr="00F317DA" w:rsidRDefault="0045329A" w:rsidP="00542935">
            <w:pPr>
              <w:spacing w:after="0"/>
              <w:jc w:val="both"/>
              <w:rPr>
                <w:rFonts w:ascii="Arial" w:eastAsia="Times New Roman" w:hAnsi="Arial" w:cs="Arial"/>
                <w:color w:val="000000"/>
                <w:sz w:val="18"/>
                <w:szCs w:val="18"/>
                <w:lang w:val="hr-HR" w:eastAsia="hr-BA"/>
              </w:rPr>
            </w:pPr>
            <w:r w:rsidRPr="00F317DA">
              <w:rPr>
                <w:rFonts w:ascii="Arial" w:eastAsia="Times New Roman" w:hAnsi="Arial" w:cs="Arial"/>
                <w:color w:val="000000"/>
                <w:sz w:val="18"/>
                <w:szCs w:val="18"/>
                <w:lang w:val="hr-HR" w:eastAsia="hr-BA"/>
              </w:rPr>
              <w:t>Pod izuzetnim slučajevima se smatraju nepredviđene okolnosti usl</w:t>
            </w:r>
            <w:r>
              <w:rPr>
                <w:rFonts w:ascii="Arial" w:eastAsia="Times New Roman" w:hAnsi="Arial" w:cs="Arial"/>
                <w:color w:val="000000"/>
                <w:sz w:val="18"/>
                <w:szCs w:val="18"/>
                <w:lang w:val="hr-HR" w:eastAsia="hr-BA"/>
              </w:rPr>
              <w:t>ijed kojih d</w:t>
            </w:r>
            <w:r w:rsidRPr="00F317DA">
              <w:rPr>
                <w:rFonts w:ascii="Arial" w:eastAsia="Times New Roman" w:hAnsi="Arial" w:cs="Arial"/>
                <w:color w:val="000000"/>
                <w:sz w:val="18"/>
                <w:szCs w:val="18"/>
                <w:lang w:val="hr-HR" w:eastAsia="hr-BA"/>
              </w:rPr>
              <w:t>eponent ima potrebu za prijevremenim raskidom oročenog depozita.</w:t>
            </w:r>
          </w:p>
          <w:p w14:paraId="50BF45EB" w14:textId="34888D6C" w:rsidR="0045329A" w:rsidRDefault="0045329A" w:rsidP="00542935">
            <w:pPr>
              <w:spacing w:after="0"/>
              <w:jc w:val="both"/>
              <w:rPr>
                <w:rFonts w:ascii="Arial" w:eastAsia="Times New Roman" w:hAnsi="Arial" w:cs="Arial"/>
                <w:color w:val="000000"/>
                <w:sz w:val="18"/>
                <w:szCs w:val="18"/>
                <w:lang w:val="hr-HR" w:eastAsia="hr-BA"/>
              </w:rPr>
            </w:pPr>
          </w:p>
          <w:p w14:paraId="54EA1E9D" w14:textId="77777777" w:rsidR="0045329A" w:rsidRDefault="0045329A" w:rsidP="00542935">
            <w:pPr>
              <w:tabs>
                <w:tab w:val="right" w:pos="8426"/>
              </w:tabs>
              <w:spacing w:after="0"/>
              <w:jc w:val="both"/>
              <w:rPr>
                <w:rFonts w:ascii="Arial" w:eastAsia="Times New Roman" w:hAnsi="Arial" w:cs="Arial"/>
                <w:color w:val="000000"/>
                <w:sz w:val="18"/>
                <w:szCs w:val="18"/>
                <w:lang w:val="hr-HR" w:eastAsia="hr-BA"/>
              </w:rPr>
            </w:pPr>
            <w:r w:rsidRPr="00F317DA">
              <w:rPr>
                <w:rFonts w:ascii="Arial" w:eastAsia="Times New Roman" w:hAnsi="Arial" w:cs="Arial"/>
                <w:color w:val="000000"/>
                <w:sz w:val="18"/>
                <w:szCs w:val="18"/>
                <w:lang w:val="hr-HR" w:eastAsia="hr-BA"/>
              </w:rPr>
              <w:t>Nepr</w:t>
            </w:r>
            <w:r>
              <w:rPr>
                <w:rFonts w:ascii="Arial" w:eastAsia="Times New Roman" w:hAnsi="Arial" w:cs="Arial"/>
                <w:color w:val="000000"/>
                <w:sz w:val="18"/>
                <w:szCs w:val="18"/>
                <w:lang w:val="hr-HR" w:eastAsia="hr-BA"/>
              </w:rPr>
              <w:t>edviđene okolnosti mogu biti sljedeće:</w:t>
            </w:r>
            <w:r>
              <w:rPr>
                <w:rFonts w:ascii="Arial" w:eastAsia="Times New Roman" w:hAnsi="Arial" w:cs="Arial"/>
                <w:color w:val="000000"/>
                <w:sz w:val="18"/>
                <w:szCs w:val="18"/>
                <w:lang w:val="hr-HR" w:eastAsia="hr-BA"/>
              </w:rPr>
              <w:tab/>
            </w:r>
          </w:p>
          <w:p w14:paraId="34A5497F" w14:textId="77777777" w:rsidR="0045329A"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Pr>
                <w:rFonts w:ascii="Arial" w:eastAsia="Times New Roman" w:hAnsi="Arial" w:cs="Arial"/>
                <w:color w:val="000000"/>
                <w:sz w:val="18"/>
                <w:szCs w:val="18"/>
                <w:lang w:val="hr-HR" w:eastAsia="hr-BA"/>
              </w:rPr>
              <w:lastRenderedPageBreak/>
              <w:t>G</w:t>
            </w:r>
            <w:r w:rsidRPr="00D0042E">
              <w:rPr>
                <w:rFonts w:ascii="Arial" w:eastAsia="Times New Roman" w:hAnsi="Arial" w:cs="Arial"/>
                <w:color w:val="000000"/>
                <w:sz w:val="18"/>
                <w:szCs w:val="18"/>
                <w:lang w:val="hr-HR" w:eastAsia="hr-BA"/>
              </w:rPr>
              <w:t xml:space="preserve">ubitak posla, </w:t>
            </w:r>
            <w:r>
              <w:rPr>
                <w:rFonts w:ascii="Arial" w:eastAsia="Times New Roman" w:hAnsi="Arial" w:cs="Arial"/>
                <w:color w:val="000000"/>
                <w:sz w:val="18"/>
                <w:szCs w:val="18"/>
                <w:lang w:val="hr-HR" w:eastAsia="hr-BA"/>
              </w:rPr>
              <w:t>iznenadna bolest d</w:t>
            </w:r>
            <w:r w:rsidRPr="00D0042E">
              <w:rPr>
                <w:rFonts w:ascii="Arial" w:eastAsia="Times New Roman" w:hAnsi="Arial" w:cs="Arial"/>
                <w:color w:val="000000"/>
                <w:sz w:val="18"/>
                <w:szCs w:val="18"/>
                <w:lang w:val="hr-HR" w:eastAsia="hr-BA"/>
              </w:rPr>
              <w:t>eponenta ili užeg člana porodice, smanjenje redovnih mjesečnih primanja, invalidnost, plaćanje troškova liječenja, trajno iseljenje iz zemlje, smrt užeg člana porodice, kupovina nekretnine, plaćanje školarine, pokriće štete na imovini nastale uslijed razbojništva, krađe, požara, poplave i slično</w:t>
            </w:r>
            <w:r>
              <w:rPr>
                <w:rFonts w:ascii="Arial" w:eastAsia="Times New Roman" w:hAnsi="Arial" w:cs="Arial"/>
                <w:color w:val="000000"/>
                <w:sz w:val="18"/>
                <w:szCs w:val="18"/>
                <w:lang w:val="hr-HR" w:eastAsia="hr-BA"/>
              </w:rPr>
              <w:t xml:space="preserve"> te</w:t>
            </w:r>
            <w:r w:rsidRPr="00D0042E">
              <w:rPr>
                <w:rFonts w:ascii="Arial" w:eastAsia="Times New Roman" w:hAnsi="Arial" w:cs="Arial"/>
                <w:color w:val="000000"/>
                <w:sz w:val="18"/>
                <w:szCs w:val="18"/>
                <w:lang w:val="hr-HR" w:eastAsia="hr-BA"/>
              </w:rPr>
              <w:t xml:space="preserve"> ostali događaji</w:t>
            </w:r>
            <w:r>
              <w:rPr>
                <w:rFonts w:ascii="Arial" w:eastAsia="Times New Roman" w:hAnsi="Arial" w:cs="Arial"/>
                <w:color w:val="000000"/>
                <w:sz w:val="18"/>
                <w:szCs w:val="18"/>
                <w:lang w:val="hr-HR" w:eastAsia="hr-BA"/>
              </w:rPr>
              <w:t xml:space="preserve"> ili okolnosti čije nastupanje d</w:t>
            </w:r>
            <w:r w:rsidRPr="00D0042E">
              <w:rPr>
                <w:rFonts w:ascii="Arial" w:eastAsia="Times New Roman" w:hAnsi="Arial" w:cs="Arial"/>
                <w:color w:val="000000"/>
                <w:sz w:val="18"/>
                <w:szCs w:val="18"/>
                <w:lang w:val="hr-HR" w:eastAsia="hr-BA"/>
              </w:rPr>
              <w:t>eponent nije mogao predvidjeti, spriječiti, izbjeći ili otkloniti mjerama i radnjama koje se po prirodi događaja ili okolnosti mogu očekivati uz saglasnost nadležnih organa Banke</w:t>
            </w:r>
            <w:r>
              <w:rPr>
                <w:rFonts w:ascii="Arial" w:eastAsia="Times New Roman" w:hAnsi="Arial" w:cs="Arial"/>
                <w:color w:val="000000"/>
                <w:sz w:val="18"/>
                <w:szCs w:val="18"/>
                <w:lang w:val="hr-HR" w:eastAsia="hr-BA"/>
              </w:rPr>
              <w:t>,</w:t>
            </w:r>
          </w:p>
          <w:p w14:paraId="44016C85" w14:textId="77777777" w:rsidR="0045329A" w:rsidRPr="00A84946"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A84946">
              <w:rPr>
                <w:rFonts w:ascii="Arial" w:eastAsia="Times New Roman" w:hAnsi="Arial" w:cs="Arial"/>
                <w:color w:val="000000"/>
                <w:sz w:val="18"/>
                <w:szCs w:val="18"/>
                <w:lang w:val="hr-HR" w:eastAsia="hr-BA"/>
              </w:rPr>
              <w:t>Razročenje oročenog depozita radi oročenja istog/većeg iznosa na isti/duži rok oročenja,</w:t>
            </w:r>
          </w:p>
          <w:p w14:paraId="05AD0CED" w14:textId="77777777" w:rsidR="0045329A" w:rsidRPr="00A84946"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A84946">
              <w:rPr>
                <w:rFonts w:ascii="Arial" w:eastAsia="Times New Roman" w:hAnsi="Arial" w:cs="Arial"/>
                <w:color w:val="000000"/>
                <w:sz w:val="18"/>
                <w:szCs w:val="18"/>
                <w:lang w:val="hr-HR" w:eastAsia="hr-BA"/>
              </w:rPr>
              <w:t xml:space="preserve">Razročenje oročenog depozita u svrhu namjenskog oročavanja kao obezbjeđenje po kreditu/garanciji/ kartici odobrenom od strane </w:t>
            </w:r>
            <w:r>
              <w:rPr>
                <w:rFonts w:ascii="Arial" w:eastAsia="Times New Roman" w:hAnsi="Arial" w:cs="Arial"/>
                <w:color w:val="000000"/>
                <w:sz w:val="18"/>
                <w:szCs w:val="18"/>
                <w:lang w:val="hr-HR" w:eastAsia="hr-BA"/>
              </w:rPr>
              <w:t>Banke d</w:t>
            </w:r>
            <w:r w:rsidRPr="00A84946">
              <w:rPr>
                <w:rFonts w:ascii="Arial" w:eastAsia="Times New Roman" w:hAnsi="Arial" w:cs="Arial"/>
                <w:color w:val="000000"/>
                <w:sz w:val="18"/>
                <w:szCs w:val="18"/>
                <w:lang w:val="hr-HR" w:eastAsia="hr-BA"/>
              </w:rPr>
              <w:t>eponentu ili trećem licu,</w:t>
            </w:r>
          </w:p>
          <w:p w14:paraId="5AD59512" w14:textId="77777777" w:rsidR="0045329A" w:rsidRPr="00A84946"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A84946">
              <w:rPr>
                <w:rFonts w:ascii="Arial" w:eastAsia="Times New Roman" w:hAnsi="Arial" w:cs="Arial"/>
                <w:color w:val="000000"/>
                <w:sz w:val="18"/>
                <w:szCs w:val="18"/>
                <w:lang w:val="hr-HR" w:eastAsia="hr-BA"/>
              </w:rPr>
              <w:t>Naplata potraživanja Banke ukoliko su se stekli uslovi za naplatu istog, razročenje se izvršava sa datumom podnošenja zahtjeva za naplatu, bez prethodne saglasnosti ugovornih strana i otkaznog roka i podnošenja zahtjeva,</w:t>
            </w:r>
          </w:p>
          <w:p w14:paraId="4EC4BD7D" w14:textId="77777777" w:rsidR="0045329A" w:rsidRPr="00A84946"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A84946">
              <w:rPr>
                <w:rFonts w:ascii="Arial" w:eastAsia="Times New Roman" w:hAnsi="Arial" w:cs="Arial"/>
                <w:color w:val="000000"/>
                <w:sz w:val="18"/>
                <w:szCs w:val="18"/>
                <w:lang w:val="hr-HR" w:eastAsia="hr-BA"/>
              </w:rPr>
              <w:t xml:space="preserve">Ukoliko se cjelokupan iznos depozita usmjerava na partiju namjenskog depozita kao instrument  </w:t>
            </w:r>
            <w:r>
              <w:rPr>
                <w:rFonts w:ascii="Arial" w:eastAsia="Times New Roman" w:hAnsi="Arial" w:cs="Arial"/>
                <w:color w:val="000000"/>
                <w:sz w:val="18"/>
                <w:szCs w:val="18"/>
                <w:lang w:val="hr-HR" w:eastAsia="hr-BA"/>
              </w:rPr>
              <w:t>obezbjeđenja, u tom slučaju se u</w:t>
            </w:r>
            <w:r w:rsidRPr="00A84946">
              <w:rPr>
                <w:rFonts w:ascii="Arial" w:eastAsia="Times New Roman" w:hAnsi="Arial" w:cs="Arial"/>
                <w:color w:val="000000"/>
                <w:sz w:val="18"/>
                <w:szCs w:val="18"/>
                <w:lang w:val="hr-HR" w:eastAsia="hr-BA"/>
              </w:rPr>
              <w:t>govor raskida,</w:t>
            </w:r>
            <w:r>
              <w:rPr>
                <w:rFonts w:ascii="Arial" w:eastAsia="Times New Roman" w:hAnsi="Arial" w:cs="Arial"/>
                <w:color w:val="000000"/>
                <w:sz w:val="18"/>
                <w:szCs w:val="18"/>
                <w:lang w:val="hr-HR" w:eastAsia="hr-BA"/>
              </w:rPr>
              <w:t xml:space="preserve"> a Banka i d</w:t>
            </w:r>
            <w:r w:rsidRPr="00A84946">
              <w:rPr>
                <w:rFonts w:ascii="Arial" w:eastAsia="Times New Roman" w:hAnsi="Arial" w:cs="Arial"/>
                <w:color w:val="000000"/>
                <w:sz w:val="18"/>
                <w:szCs w:val="18"/>
                <w:lang w:val="hr-HR" w:eastAsia="hr-BA"/>
              </w:rPr>
              <w:t>eponent zaključuju ugovor o namjenskom depozitu, pod uslovom da je period važenja odobrenog kredita, garancije ili kartice duži od ug</w:t>
            </w:r>
            <w:r>
              <w:rPr>
                <w:rFonts w:ascii="Arial" w:eastAsia="Times New Roman" w:hAnsi="Arial" w:cs="Arial"/>
                <w:color w:val="000000"/>
                <w:sz w:val="18"/>
                <w:szCs w:val="18"/>
                <w:lang w:val="hr-HR" w:eastAsia="hr-BA"/>
              </w:rPr>
              <w:t>ovorenog perioda oročenja po u</w:t>
            </w:r>
            <w:r w:rsidRPr="00A84946">
              <w:rPr>
                <w:rFonts w:ascii="Arial" w:eastAsia="Times New Roman" w:hAnsi="Arial" w:cs="Arial"/>
                <w:color w:val="000000"/>
                <w:sz w:val="18"/>
                <w:szCs w:val="18"/>
                <w:lang w:val="hr-HR" w:eastAsia="hr-BA"/>
              </w:rPr>
              <w:t>govoru, pri čemu Banka priznaje ukupan iznos do tada obračunate kamate,</w:t>
            </w:r>
          </w:p>
          <w:p w14:paraId="6CA6381A" w14:textId="77777777" w:rsidR="0045329A" w:rsidRPr="00A84946"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A84946">
              <w:rPr>
                <w:rFonts w:ascii="Arial" w:eastAsia="Times New Roman" w:hAnsi="Arial" w:cs="Arial"/>
                <w:color w:val="000000"/>
                <w:sz w:val="18"/>
                <w:szCs w:val="18"/>
                <w:lang w:val="hr-HR" w:eastAsia="hr-BA"/>
              </w:rPr>
              <w:t>Ukoliko se dio sredstava usmjerava na partiju namjenskog depozita,</w:t>
            </w:r>
            <w:r>
              <w:rPr>
                <w:rFonts w:ascii="Arial" w:eastAsia="Times New Roman" w:hAnsi="Arial" w:cs="Arial"/>
                <w:color w:val="000000"/>
                <w:sz w:val="18"/>
                <w:szCs w:val="18"/>
                <w:lang w:val="hr-HR" w:eastAsia="hr-BA"/>
              </w:rPr>
              <w:t xml:space="preserve"> u</w:t>
            </w:r>
            <w:r w:rsidRPr="00A84946">
              <w:rPr>
                <w:rFonts w:ascii="Arial" w:eastAsia="Times New Roman" w:hAnsi="Arial" w:cs="Arial"/>
                <w:color w:val="000000"/>
                <w:sz w:val="18"/>
                <w:szCs w:val="18"/>
                <w:lang w:val="hr-HR" w:eastAsia="hr-BA"/>
              </w:rPr>
              <w:t>govor se ne raskida nego se posebno zaključenim aneksom definiše promjena uslova oročenja, odnosno umanjuje se iznos oročenog depozita te se zaključuje ugovor o namjenskom depozitu. Prilikom zaključenja ugovora o namjenskom depozitu, na deponovana sredstva koja se razročavaju priznaje se ukupan iznos do tada obračunate kamate.</w:t>
            </w:r>
          </w:p>
          <w:p w14:paraId="3FC33987" w14:textId="77777777" w:rsidR="0045329A" w:rsidRPr="00D0042E" w:rsidRDefault="0045329A" w:rsidP="00542935">
            <w:pPr>
              <w:pStyle w:val="ListParagraph"/>
              <w:numPr>
                <w:ilvl w:val="0"/>
                <w:numId w:val="4"/>
              </w:numPr>
              <w:spacing w:after="0"/>
              <w:ind w:left="388"/>
              <w:jc w:val="both"/>
              <w:rPr>
                <w:rFonts w:ascii="Arial" w:eastAsia="Times New Roman" w:hAnsi="Arial" w:cs="Arial"/>
                <w:color w:val="000000"/>
                <w:sz w:val="18"/>
                <w:szCs w:val="18"/>
                <w:lang w:val="hr-HR" w:eastAsia="hr-BA"/>
              </w:rPr>
            </w:pPr>
            <w:r w:rsidRPr="00D0042E">
              <w:rPr>
                <w:rFonts w:ascii="Arial" w:eastAsia="Times New Roman" w:hAnsi="Arial" w:cs="Arial"/>
                <w:color w:val="000000"/>
                <w:sz w:val="18"/>
                <w:szCs w:val="18"/>
                <w:lang w:val="hr-HR" w:eastAsia="hr-BA"/>
              </w:rPr>
              <w:t>Ukoliko se oročeni depozit razročava u svrhu novog oročenja cjelokupnog razročenog iznosa ili većeg iznosa od razročenog na duži rok od prvobitnog, Banka za protekli rok obračunava kama</w:t>
            </w:r>
            <w:r>
              <w:rPr>
                <w:rFonts w:ascii="Arial" w:eastAsia="Times New Roman" w:hAnsi="Arial" w:cs="Arial"/>
                <w:color w:val="000000"/>
                <w:sz w:val="18"/>
                <w:szCs w:val="18"/>
                <w:lang w:val="hr-HR" w:eastAsia="hr-BA"/>
              </w:rPr>
              <w:t xml:space="preserve">tu po ugovorenoj kamatnoj stopi, </w:t>
            </w:r>
            <w:r w:rsidRPr="00D0042E">
              <w:rPr>
                <w:rFonts w:ascii="Arial" w:eastAsia="Times New Roman" w:hAnsi="Arial" w:cs="Arial"/>
                <w:color w:val="000000"/>
                <w:sz w:val="18"/>
                <w:szCs w:val="18"/>
                <w:lang w:val="hr-HR" w:eastAsia="hr-BA"/>
              </w:rPr>
              <w:t>a kamata se obračunava i pripisuje novom oročenom depozitu. Novo oročenje ugovara se u skladu sa Odlukom o kamatnim stopama važećom</w:t>
            </w:r>
            <w:r>
              <w:rPr>
                <w:rFonts w:ascii="Arial" w:eastAsia="Times New Roman" w:hAnsi="Arial" w:cs="Arial"/>
                <w:color w:val="000000"/>
                <w:sz w:val="18"/>
                <w:szCs w:val="18"/>
                <w:lang w:val="hr-HR" w:eastAsia="hr-BA"/>
              </w:rPr>
              <w:t xml:space="preserve"> u vrijeme zaključivanja novog u</w:t>
            </w:r>
            <w:r w:rsidRPr="00D0042E">
              <w:rPr>
                <w:rFonts w:ascii="Arial" w:eastAsia="Times New Roman" w:hAnsi="Arial" w:cs="Arial"/>
                <w:color w:val="000000"/>
                <w:sz w:val="18"/>
                <w:szCs w:val="18"/>
                <w:lang w:val="hr-HR" w:eastAsia="hr-BA"/>
              </w:rPr>
              <w:t>govora.</w:t>
            </w:r>
          </w:p>
        </w:tc>
      </w:tr>
      <w:tr w:rsidR="0045329A" w:rsidRPr="00F317DA" w14:paraId="0E3D75E5" w14:textId="77777777" w:rsidTr="00BB49FE">
        <w:trPr>
          <w:trHeight w:val="2164"/>
        </w:trPr>
        <w:tc>
          <w:tcPr>
            <w:tcW w:w="755" w:type="pct"/>
            <w:tcBorders>
              <w:bottom w:val="dotted" w:sz="4" w:space="0" w:color="808080"/>
              <w:right w:val="single" w:sz="4" w:space="0" w:color="808080"/>
            </w:tcBorders>
            <w:shd w:val="clear" w:color="auto" w:fill="FFFFFF"/>
          </w:tcPr>
          <w:p w14:paraId="165CC23A"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lastRenderedPageBreak/>
              <w:t>Visina i promjenjivost nominalne kamatne stope</w:t>
            </w:r>
          </w:p>
        </w:tc>
        <w:tc>
          <w:tcPr>
            <w:tcW w:w="4245" w:type="pct"/>
            <w:gridSpan w:val="2"/>
            <w:tcBorders>
              <w:left w:val="single" w:sz="4" w:space="0" w:color="808080"/>
              <w:bottom w:val="dotted" w:sz="4" w:space="0" w:color="808080"/>
            </w:tcBorders>
            <w:shd w:val="clear" w:color="auto" w:fill="FFFFFF"/>
          </w:tcPr>
          <w:p w14:paraId="7F93E4B0" w14:textId="77777777" w:rsidR="0045329A" w:rsidRPr="00F317DA" w:rsidRDefault="0045329A" w:rsidP="00542935">
            <w:pPr>
              <w:spacing w:after="0"/>
              <w:ind w:right="160"/>
              <w:jc w:val="both"/>
              <w:rPr>
                <w:rFonts w:ascii="Arial" w:eastAsia="Times New Roman" w:hAnsi="Arial" w:cs="Arial"/>
                <w:bCs/>
                <w:iCs/>
                <w:sz w:val="18"/>
                <w:szCs w:val="18"/>
              </w:rPr>
            </w:pPr>
            <w:r w:rsidRPr="00F317DA">
              <w:rPr>
                <w:rFonts w:ascii="Arial" w:eastAsia="Times New Roman" w:hAnsi="Arial" w:cs="Arial"/>
                <w:bCs/>
                <w:iCs/>
                <w:sz w:val="18"/>
                <w:szCs w:val="18"/>
              </w:rPr>
              <w:t>Kamatna stopa na depozite fizičkih lica je fiksna u toku perioda oročenja i obračunava</w:t>
            </w:r>
            <w:r>
              <w:rPr>
                <w:rFonts w:ascii="Arial" w:eastAsia="Times New Roman" w:hAnsi="Arial" w:cs="Arial"/>
                <w:bCs/>
                <w:iCs/>
                <w:sz w:val="18"/>
                <w:szCs w:val="18"/>
              </w:rPr>
              <w:t xml:space="preserve"> se linearnom metodom obračuna. </w:t>
            </w:r>
            <w:r w:rsidRPr="00F317DA">
              <w:rPr>
                <w:rFonts w:ascii="Arial" w:eastAsia="Times New Roman" w:hAnsi="Arial" w:cs="Arial"/>
                <w:bCs/>
                <w:iCs/>
                <w:sz w:val="18"/>
                <w:szCs w:val="18"/>
              </w:rPr>
              <w:t>Ugovorena fiksna kamatna stopa ostaje neprom</w:t>
            </w:r>
            <w:r>
              <w:rPr>
                <w:rFonts w:ascii="Arial" w:eastAsia="Times New Roman" w:hAnsi="Arial" w:cs="Arial"/>
                <w:bCs/>
                <w:iCs/>
                <w:sz w:val="18"/>
                <w:szCs w:val="18"/>
              </w:rPr>
              <w:t>i</w:t>
            </w:r>
            <w:r w:rsidRPr="00F317DA">
              <w:rPr>
                <w:rFonts w:ascii="Arial" w:eastAsia="Times New Roman" w:hAnsi="Arial" w:cs="Arial"/>
                <w:bCs/>
                <w:iCs/>
                <w:sz w:val="18"/>
                <w:szCs w:val="18"/>
              </w:rPr>
              <w:t>jenjena</w:t>
            </w:r>
            <w:r>
              <w:rPr>
                <w:rFonts w:ascii="Arial" w:eastAsia="Times New Roman" w:hAnsi="Arial" w:cs="Arial"/>
                <w:bCs/>
                <w:iCs/>
                <w:sz w:val="18"/>
                <w:szCs w:val="18"/>
              </w:rPr>
              <w:t xml:space="preserve"> do isteka perioda oročenja iz u</w:t>
            </w:r>
            <w:r w:rsidRPr="00F317DA">
              <w:rPr>
                <w:rFonts w:ascii="Arial" w:eastAsia="Times New Roman" w:hAnsi="Arial" w:cs="Arial"/>
                <w:bCs/>
                <w:iCs/>
                <w:sz w:val="18"/>
                <w:szCs w:val="18"/>
              </w:rPr>
              <w:t>govora.</w:t>
            </w:r>
          </w:p>
          <w:p w14:paraId="67B927ED" w14:textId="77777777" w:rsidR="0045329A" w:rsidRPr="00F317DA" w:rsidRDefault="0045329A" w:rsidP="00542935">
            <w:pPr>
              <w:spacing w:after="0"/>
              <w:ind w:right="160"/>
              <w:jc w:val="both"/>
              <w:rPr>
                <w:rFonts w:ascii="Arial" w:eastAsia="Times New Roman" w:hAnsi="Arial" w:cs="Arial"/>
                <w:bCs/>
                <w:iCs/>
                <w:sz w:val="18"/>
                <w:szCs w:val="18"/>
              </w:rPr>
            </w:pPr>
            <w:r>
              <w:rPr>
                <w:rFonts w:ascii="Arial" w:eastAsia="Times New Roman" w:hAnsi="Arial" w:cs="Arial"/>
                <w:bCs/>
                <w:iCs/>
                <w:sz w:val="18"/>
                <w:szCs w:val="18"/>
              </w:rPr>
              <w:t>Nominalna kamatna stopa predstavlja osnovnu kamatnu stopu u koju</w:t>
            </w:r>
            <w:r w:rsidRPr="00F317DA">
              <w:rPr>
                <w:rFonts w:ascii="Arial" w:eastAsia="Times New Roman" w:hAnsi="Arial" w:cs="Arial"/>
                <w:bCs/>
                <w:iCs/>
                <w:sz w:val="18"/>
                <w:szCs w:val="18"/>
              </w:rPr>
              <w:t xml:space="preserve"> n</w:t>
            </w:r>
            <w:r>
              <w:rPr>
                <w:rFonts w:ascii="Arial" w:eastAsia="Times New Roman" w:hAnsi="Arial" w:cs="Arial"/>
                <w:bCs/>
                <w:iCs/>
                <w:sz w:val="18"/>
                <w:szCs w:val="18"/>
              </w:rPr>
              <w:t>isu uračunati troškovi naknada</w:t>
            </w:r>
            <w:r w:rsidRPr="00F317DA">
              <w:rPr>
                <w:rFonts w:ascii="Arial" w:eastAsia="Times New Roman" w:hAnsi="Arial" w:cs="Arial"/>
                <w:bCs/>
                <w:iCs/>
                <w:sz w:val="18"/>
                <w:szCs w:val="18"/>
              </w:rPr>
              <w:t xml:space="preserve"> i p</w:t>
            </w:r>
            <w:r>
              <w:rPr>
                <w:rFonts w:ascii="Arial" w:eastAsia="Times New Roman" w:hAnsi="Arial" w:cs="Arial"/>
                <w:bCs/>
                <w:iCs/>
                <w:sz w:val="18"/>
                <w:szCs w:val="18"/>
              </w:rPr>
              <w:t>rovizija koje Banka zaračunava d</w:t>
            </w:r>
            <w:r w:rsidRPr="00F317DA">
              <w:rPr>
                <w:rFonts w:ascii="Arial" w:eastAsia="Times New Roman" w:hAnsi="Arial" w:cs="Arial"/>
                <w:bCs/>
                <w:iCs/>
                <w:sz w:val="18"/>
                <w:szCs w:val="18"/>
              </w:rPr>
              <w:t>eponentu kod polaganja depozita.</w:t>
            </w:r>
          </w:p>
          <w:p w14:paraId="453D8FD5" w14:textId="77777777" w:rsidR="0045329A" w:rsidRPr="00F317DA" w:rsidRDefault="0045329A" w:rsidP="00542935">
            <w:pPr>
              <w:autoSpaceDE w:val="0"/>
              <w:autoSpaceDN w:val="0"/>
              <w:adjustRightInd w:val="0"/>
              <w:spacing w:after="0"/>
              <w:ind w:right="160"/>
              <w:jc w:val="both"/>
              <w:rPr>
                <w:rFonts w:ascii="Arial" w:hAnsi="Arial" w:cs="Arial"/>
                <w:sz w:val="18"/>
                <w:szCs w:val="18"/>
              </w:rPr>
            </w:pPr>
            <w:r w:rsidRPr="00F317DA">
              <w:rPr>
                <w:rFonts w:ascii="Arial" w:hAnsi="Arial" w:cs="Arial"/>
                <w:sz w:val="18"/>
                <w:szCs w:val="18"/>
              </w:rPr>
              <w:t xml:space="preserve">Banka obračunatu kamatu isplaćuje prenosom na štedni račun </w:t>
            </w:r>
            <w:r>
              <w:rPr>
                <w:rFonts w:ascii="Arial" w:hAnsi="Arial" w:cs="Arial"/>
                <w:sz w:val="18"/>
                <w:szCs w:val="18"/>
              </w:rPr>
              <w:t>- a vista kojom deponent može</w:t>
            </w:r>
            <w:r w:rsidRPr="00F317DA">
              <w:rPr>
                <w:rFonts w:ascii="Arial" w:hAnsi="Arial" w:cs="Arial"/>
                <w:sz w:val="18"/>
                <w:szCs w:val="18"/>
              </w:rPr>
              <w:t xml:space="preserve"> slobodno  raspolagati :</w:t>
            </w:r>
          </w:p>
          <w:p w14:paraId="65C3A4F6" w14:textId="77777777" w:rsidR="0045329A" w:rsidRPr="00F317DA" w:rsidRDefault="0045329A" w:rsidP="00542935">
            <w:pPr>
              <w:numPr>
                <w:ilvl w:val="0"/>
                <w:numId w:val="1"/>
              </w:numPr>
              <w:autoSpaceDE w:val="0"/>
              <w:autoSpaceDN w:val="0"/>
              <w:adjustRightInd w:val="0"/>
              <w:spacing w:after="0"/>
              <w:jc w:val="both"/>
              <w:rPr>
                <w:rFonts w:ascii="Arial" w:hAnsi="Arial" w:cs="Arial"/>
                <w:sz w:val="18"/>
                <w:szCs w:val="18"/>
              </w:rPr>
            </w:pPr>
            <w:r w:rsidRPr="00F317DA">
              <w:rPr>
                <w:rFonts w:ascii="Arial" w:hAnsi="Arial" w:cs="Arial"/>
                <w:sz w:val="18"/>
                <w:szCs w:val="18"/>
              </w:rPr>
              <w:t>po isteku kalendarskog mjeseca</w:t>
            </w:r>
            <w:r>
              <w:rPr>
                <w:rFonts w:ascii="Arial" w:hAnsi="Arial" w:cs="Arial"/>
                <w:sz w:val="18"/>
                <w:szCs w:val="18"/>
              </w:rPr>
              <w:t>,</w:t>
            </w:r>
          </w:p>
          <w:p w14:paraId="1D9C4F41" w14:textId="77777777" w:rsidR="0045329A" w:rsidRDefault="0045329A" w:rsidP="00542935">
            <w:pPr>
              <w:numPr>
                <w:ilvl w:val="0"/>
                <w:numId w:val="1"/>
              </w:numPr>
              <w:autoSpaceDE w:val="0"/>
              <w:autoSpaceDN w:val="0"/>
              <w:adjustRightInd w:val="0"/>
              <w:spacing w:after="0"/>
              <w:jc w:val="both"/>
              <w:rPr>
                <w:rFonts w:ascii="Arial" w:hAnsi="Arial" w:cs="Arial"/>
                <w:sz w:val="18"/>
                <w:szCs w:val="18"/>
              </w:rPr>
            </w:pPr>
            <w:r w:rsidRPr="00F317DA">
              <w:rPr>
                <w:rFonts w:ascii="Arial" w:hAnsi="Arial" w:cs="Arial"/>
                <w:sz w:val="18"/>
                <w:szCs w:val="18"/>
              </w:rPr>
              <w:t>po isteku mjesec dana od dana oročenja</w:t>
            </w:r>
            <w:r>
              <w:rPr>
                <w:rFonts w:ascii="Arial" w:hAnsi="Arial" w:cs="Arial"/>
                <w:sz w:val="18"/>
                <w:szCs w:val="18"/>
              </w:rPr>
              <w:t>,</w:t>
            </w:r>
          </w:p>
          <w:p w14:paraId="10993AF2" w14:textId="77777777" w:rsidR="0045329A" w:rsidRDefault="0045329A" w:rsidP="00542935">
            <w:pPr>
              <w:numPr>
                <w:ilvl w:val="0"/>
                <w:numId w:val="1"/>
              </w:numPr>
              <w:autoSpaceDE w:val="0"/>
              <w:autoSpaceDN w:val="0"/>
              <w:adjustRightInd w:val="0"/>
              <w:spacing w:after="0"/>
              <w:jc w:val="both"/>
              <w:rPr>
                <w:rFonts w:ascii="Arial" w:hAnsi="Arial" w:cs="Arial"/>
                <w:sz w:val="18"/>
                <w:szCs w:val="18"/>
              </w:rPr>
            </w:pPr>
            <w:r>
              <w:rPr>
                <w:rFonts w:ascii="Arial" w:hAnsi="Arial" w:cs="Arial"/>
                <w:sz w:val="18"/>
                <w:szCs w:val="18"/>
              </w:rPr>
              <w:t>p</w:t>
            </w:r>
            <w:r w:rsidRPr="0015174F">
              <w:rPr>
                <w:rFonts w:ascii="Arial" w:hAnsi="Arial" w:cs="Arial"/>
                <w:sz w:val="18"/>
                <w:szCs w:val="18"/>
              </w:rPr>
              <w:t>o isteku oročenja</w:t>
            </w:r>
          </w:p>
          <w:p w14:paraId="2FC40696" w14:textId="5E29A6C0" w:rsidR="0045329A" w:rsidRPr="0049044B" w:rsidRDefault="0045329A" w:rsidP="00542935">
            <w:pPr>
              <w:autoSpaceDE w:val="0"/>
              <w:autoSpaceDN w:val="0"/>
              <w:adjustRightInd w:val="0"/>
              <w:spacing w:after="0"/>
              <w:jc w:val="both"/>
              <w:rPr>
                <w:rFonts w:ascii="Arial" w:hAnsi="Arial" w:cs="Arial"/>
                <w:sz w:val="18"/>
                <w:szCs w:val="18"/>
              </w:rPr>
            </w:pPr>
            <w:r w:rsidRPr="00F317DA">
              <w:rPr>
                <w:rFonts w:ascii="Arial" w:hAnsi="Arial" w:cs="Arial"/>
                <w:sz w:val="18"/>
                <w:szCs w:val="18"/>
              </w:rPr>
              <w:t>ili u slučaju prijevremenog</w:t>
            </w:r>
            <w:r>
              <w:rPr>
                <w:rFonts w:ascii="Arial" w:hAnsi="Arial" w:cs="Arial"/>
                <w:sz w:val="18"/>
                <w:szCs w:val="18"/>
              </w:rPr>
              <w:t xml:space="preserve"> razročenja.</w:t>
            </w:r>
          </w:p>
        </w:tc>
      </w:tr>
      <w:tr w:rsidR="0045329A" w:rsidRPr="00F317DA" w14:paraId="1A4DC1A6" w14:textId="77777777" w:rsidTr="00BB49FE">
        <w:tc>
          <w:tcPr>
            <w:tcW w:w="755" w:type="pct"/>
            <w:tcBorders>
              <w:top w:val="dotted" w:sz="4" w:space="0" w:color="808080"/>
              <w:bottom w:val="dotted" w:sz="4" w:space="0" w:color="808080"/>
              <w:right w:val="single" w:sz="4" w:space="0" w:color="7F7F7F"/>
            </w:tcBorders>
            <w:shd w:val="clear" w:color="auto" w:fill="FFFFFF"/>
          </w:tcPr>
          <w:p w14:paraId="66E09E04" w14:textId="77777777" w:rsidR="0045329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Efektivna kamatna stopa i ukupan iznos koji</w:t>
            </w:r>
            <w:r>
              <w:rPr>
                <w:rFonts w:ascii="Arial" w:eastAsia="Times New Roman" w:hAnsi="Arial" w:cs="Arial"/>
                <w:b/>
                <w:bCs/>
                <w:i/>
                <w:iCs/>
                <w:sz w:val="18"/>
                <w:szCs w:val="18"/>
              </w:rPr>
              <w:t xml:space="preserve"> korisnik usluge treba platiti,</w:t>
            </w:r>
          </w:p>
          <w:p w14:paraId="521AF8C3" w14:textId="77777777" w:rsidR="0045329A" w:rsidRPr="00F317DA" w:rsidRDefault="0045329A" w:rsidP="00542935">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odnosno koji mu se treba isplatiti</w:t>
            </w:r>
          </w:p>
        </w:tc>
        <w:tc>
          <w:tcPr>
            <w:tcW w:w="4245" w:type="pct"/>
            <w:gridSpan w:val="2"/>
            <w:tcBorders>
              <w:top w:val="dotted" w:sz="4" w:space="0" w:color="808080"/>
              <w:bottom w:val="dotted" w:sz="4" w:space="0" w:color="808080"/>
            </w:tcBorders>
            <w:shd w:val="clear" w:color="auto" w:fill="auto"/>
          </w:tcPr>
          <w:p w14:paraId="6FC62D99" w14:textId="77777777" w:rsidR="0045329A" w:rsidRPr="00F317DA" w:rsidRDefault="0045329A" w:rsidP="00542935">
            <w:pPr>
              <w:spacing w:after="0"/>
              <w:ind w:right="160"/>
              <w:jc w:val="both"/>
              <w:rPr>
                <w:rFonts w:ascii="Arial" w:hAnsi="Arial" w:cs="Arial"/>
                <w:sz w:val="18"/>
                <w:szCs w:val="18"/>
                <w:lang w:val="hr-HR"/>
              </w:rPr>
            </w:pPr>
            <w:r w:rsidRPr="00F317DA">
              <w:rPr>
                <w:rFonts w:ascii="Arial" w:hAnsi="Arial" w:cs="Arial"/>
                <w:sz w:val="18"/>
                <w:szCs w:val="18"/>
                <w:lang w:val="hr-HR"/>
              </w:rPr>
              <w:t>Efektivna kamatna stopa (EKS) je povrat na depozit nakon što se svi troškovi i naknade vezani za depozit uključe u kalkulaciju kamatne stope.</w:t>
            </w:r>
          </w:p>
          <w:p w14:paraId="20D041D7" w14:textId="77777777" w:rsidR="0045329A" w:rsidRPr="00F317DA" w:rsidRDefault="0045329A" w:rsidP="00542935">
            <w:pPr>
              <w:spacing w:after="0"/>
              <w:jc w:val="both"/>
              <w:rPr>
                <w:rFonts w:ascii="Arial" w:hAnsi="Arial" w:cs="Arial"/>
                <w:sz w:val="18"/>
                <w:szCs w:val="18"/>
              </w:rPr>
            </w:pPr>
            <w:r w:rsidRPr="00F317DA">
              <w:rPr>
                <w:rFonts w:ascii="Arial" w:hAnsi="Arial" w:cs="Arial"/>
                <w:sz w:val="18"/>
                <w:szCs w:val="18"/>
                <w:lang w:val="hr-HR"/>
              </w:rPr>
              <w:t>O</w:t>
            </w:r>
            <w:r w:rsidRPr="00F317DA">
              <w:rPr>
                <w:rFonts w:ascii="Arial" w:hAnsi="Arial" w:cs="Arial"/>
                <w:sz w:val="18"/>
                <w:szCs w:val="18"/>
              </w:rPr>
              <w:t>bračunava se konformnom metodom.</w:t>
            </w:r>
          </w:p>
          <w:p w14:paraId="707AA74D" w14:textId="77777777" w:rsidR="0045329A" w:rsidRPr="00F317DA" w:rsidRDefault="0045329A" w:rsidP="00542935">
            <w:pPr>
              <w:spacing w:after="0"/>
              <w:ind w:right="160"/>
              <w:jc w:val="both"/>
              <w:rPr>
                <w:rFonts w:ascii="Arial" w:hAnsi="Arial" w:cs="Arial"/>
                <w:sz w:val="18"/>
                <w:szCs w:val="18"/>
              </w:rPr>
            </w:pPr>
            <w:r w:rsidRPr="00F317DA">
              <w:rPr>
                <w:rFonts w:ascii="Arial" w:hAnsi="Arial" w:cs="Arial"/>
                <w:sz w:val="18"/>
                <w:szCs w:val="18"/>
              </w:rPr>
              <w:t>Efektivna kamatna stopa i u</w:t>
            </w:r>
            <w:r>
              <w:rPr>
                <w:rFonts w:ascii="Arial" w:hAnsi="Arial" w:cs="Arial"/>
                <w:sz w:val="18"/>
                <w:szCs w:val="18"/>
                <w:lang w:val="hr-HR"/>
              </w:rPr>
              <w:t>kupan iznos kamate koja će se d</w:t>
            </w:r>
            <w:r w:rsidRPr="00F317DA">
              <w:rPr>
                <w:rFonts w:ascii="Arial" w:hAnsi="Arial" w:cs="Arial"/>
                <w:sz w:val="18"/>
                <w:szCs w:val="18"/>
                <w:lang w:val="hr-HR"/>
              </w:rPr>
              <w:t xml:space="preserve">eponentu isplatiti istekom perioda oročenja </w:t>
            </w:r>
            <w:r w:rsidRPr="00F317DA">
              <w:rPr>
                <w:rFonts w:ascii="Arial" w:hAnsi="Arial" w:cs="Arial"/>
                <w:sz w:val="18"/>
                <w:szCs w:val="18"/>
              </w:rPr>
              <w:t>navedeni su na reprezentativnom primjeru</w:t>
            </w:r>
            <w:r w:rsidRPr="00F317DA">
              <w:rPr>
                <w:rFonts w:ascii="Arial" w:hAnsi="Arial" w:cs="Arial"/>
                <w:sz w:val="18"/>
                <w:szCs w:val="18"/>
                <w:lang w:val="hr-HR"/>
              </w:rPr>
              <w:t xml:space="preserve"> na kojem su također prikazani i svi elementi korišteni u obračunu efektivne kamatne stope.</w:t>
            </w:r>
          </w:p>
          <w:p w14:paraId="2C7118C7" w14:textId="77777777" w:rsidR="0045329A" w:rsidRDefault="0045329A" w:rsidP="00542935">
            <w:pPr>
              <w:spacing w:after="0"/>
              <w:ind w:right="160"/>
              <w:jc w:val="both"/>
              <w:rPr>
                <w:rFonts w:ascii="Arial" w:hAnsi="Arial" w:cs="Arial"/>
                <w:sz w:val="18"/>
                <w:szCs w:val="18"/>
                <w:lang w:val="hr-HR"/>
              </w:rPr>
            </w:pPr>
          </w:p>
          <w:p w14:paraId="09D0620A" w14:textId="77777777" w:rsidR="0045329A" w:rsidRPr="0085633B" w:rsidRDefault="0045329A" w:rsidP="00542935">
            <w:pPr>
              <w:spacing w:after="0"/>
              <w:ind w:right="160"/>
              <w:jc w:val="both"/>
              <w:rPr>
                <w:rFonts w:ascii="Arial" w:hAnsi="Arial" w:cs="Arial"/>
                <w:sz w:val="16"/>
                <w:szCs w:val="16"/>
              </w:rPr>
            </w:pPr>
            <w:r w:rsidRPr="0085633B">
              <w:rPr>
                <w:rFonts w:ascii="Arial" w:hAnsi="Arial" w:cs="Arial"/>
                <w:sz w:val="18"/>
                <w:szCs w:val="18"/>
                <w:lang w:val="hr-HR"/>
              </w:rPr>
              <w:t>Ukoliko se u izračun efektivne kamatne stope uključuje samo nominalna kamatna stopa, eventualna razlika između efektivne i nominalne kamatne stope nastala je kao rezultat različitih metoda obračuna</w:t>
            </w:r>
            <w:r>
              <w:rPr>
                <w:rFonts w:ascii="Arial" w:hAnsi="Arial" w:cs="Arial"/>
                <w:sz w:val="16"/>
                <w:szCs w:val="16"/>
              </w:rPr>
              <w:t>.</w:t>
            </w:r>
          </w:p>
        </w:tc>
      </w:tr>
      <w:tr w:rsidR="00681F52" w:rsidRPr="00F317DA" w14:paraId="34589CD0" w14:textId="77777777" w:rsidTr="00BB49FE">
        <w:tc>
          <w:tcPr>
            <w:tcW w:w="755" w:type="pct"/>
            <w:tcBorders>
              <w:top w:val="dotted" w:sz="4" w:space="0" w:color="808080"/>
              <w:bottom w:val="dotted" w:sz="4" w:space="0" w:color="808080"/>
              <w:right w:val="single" w:sz="4" w:space="0" w:color="7F7F7F"/>
            </w:tcBorders>
            <w:shd w:val="clear" w:color="auto" w:fill="FFFFFF"/>
          </w:tcPr>
          <w:p w14:paraId="785217E4" w14:textId="632FB41C" w:rsidR="00681F52" w:rsidRPr="00681F52" w:rsidRDefault="00681F52" w:rsidP="00681F52">
            <w:pPr>
              <w:spacing w:after="0"/>
              <w:rPr>
                <w:rFonts w:ascii="Arial" w:eastAsia="Times New Roman" w:hAnsi="Arial" w:cs="Arial"/>
                <w:b/>
                <w:bCs/>
                <w:i/>
                <w:iCs/>
                <w:sz w:val="18"/>
                <w:szCs w:val="18"/>
              </w:rPr>
            </w:pPr>
            <w:r w:rsidRPr="00681F52">
              <w:rPr>
                <w:rFonts w:ascii="Arial" w:eastAsia="Times New Roman" w:hAnsi="Arial" w:cs="Arial"/>
                <w:b/>
                <w:bCs/>
                <w:i/>
                <w:iCs/>
                <w:sz w:val="18"/>
                <w:szCs w:val="18"/>
              </w:rPr>
              <w:t>Troškovi održavanja računa na kojem se evidentiraju transakcije i promjenjivost naknade</w:t>
            </w:r>
          </w:p>
        </w:tc>
        <w:tc>
          <w:tcPr>
            <w:tcW w:w="4245" w:type="pct"/>
            <w:gridSpan w:val="2"/>
            <w:tcBorders>
              <w:top w:val="dotted" w:sz="4" w:space="0" w:color="808080"/>
              <w:bottom w:val="dotted" w:sz="4" w:space="0" w:color="808080"/>
            </w:tcBorders>
            <w:shd w:val="clear" w:color="auto" w:fill="auto"/>
          </w:tcPr>
          <w:p w14:paraId="64AC783F" w14:textId="77777777" w:rsidR="00681F52" w:rsidRPr="00681F52" w:rsidRDefault="00681F52" w:rsidP="00681F52">
            <w:pPr>
              <w:spacing w:after="0"/>
              <w:jc w:val="both"/>
              <w:rPr>
                <w:rFonts w:ascii="Arial" w:eastAsia="Times New Roman" w:hAnsi="Arial" w:cs="Arial"/>
                <w:bCs/>
                <w:iCs/>
                <w:sz w:val="18"/>
                <w:szCs w:val="18"/>
              </w:rPr>
            </w:pPr>
            <w:r w:rsidRPr="00681F52">
              <w:rPr>
                <w:rFonts w:ascii="Arial" w:eastAsia="Times New Roman" w:hAnsi="Arial" w:cs="Arial"/>
                <w:bCs/>
                <w:iCs/>
                <w:sz w:val="18"/>
                <w:szCs w:val="18"/>
              </w:rPr>
              <w:t>Nema troškova održavanja računa na kom su sredstva oročena.</w:t>
            </w:r>
          </w:p>
          <w:p w14:paraId="478DE37A" w14:textId="77777777" w:rsidR="00681F52" w:rsidRPr="00681F52" w:rsidRDefault="00681F52" w:rsidP="00681F52">
            <w:pPr>
              <w:tabs>
                <w:tab w:val="left" w:pos="8274"/>
              </w:tabs>
              <w:spacing w:after="0"/>
              <w:ind w:right="160"/>
              <w:jc w:val="both"/>
              <w:rPr>
                <w:rFonts w:ascii="Arial" w:eastAsia="Times New Roman" w:hAnsi="Arial" w:cs="Arial"/>
                <w:bCs/>
                <w:iCs/>
                <w:sz w:val="18"/>
                <w:szCs w:val="18"/>
              </w:rPr>
            </w:pPr>
            <w:r w:rsidRPr="00681F52">
              <w:rPr>
                <w:rFonts w:ascii="Arial" w:eastAsia="Times New Roman" w:hAnsi="Arial" w:cs="Arial"/>
                <w:bCs/>
                <w:iCs/>
                <w:sz w:val="18"/>
                <w:szCs w:val="18"/>
              </w:rPr>
              <w:t>Naknada se mijenja u skladu s poslovnom politikom Banke i primjenjivat će se i na već zaključeni ugovor bez obaveze zaključenja aneksa ugovora i/ili pribavljanja saglasnosti za promjenu od strane deponenta. U slučaju da Banka izmijeni visinu naknade obavezna je o tome obavijestiti deponenta u roku od 15 (petnaest) dana prije početka primjene izmijenjene naknade.</w:t>
            </w:r>
          </w:p>
          <w:p w14:paraId="006B6D9C" w14:textId="295C89F3" w:rsidR="00681F52" w:rsidRPr="00681F52" w:rsidRDefault="00681F52" w:rsidP="00681F52">
            <w:pPr>
              <w:spacing w:after="0"/>
              <w:ind w:right="160"/>
              <w:jc w:val="both"/>
              <w:rPr>
                <w:rFonts w:ascii="Arial" w:hAnsi="Arial" w:cs="Arial"/>
                <w:sz w:val="18"/>
                <w:szCs w:val="18"/>
                <w:lang w:val="hr-HR"/>
              </w:rPr>
            </w:pPr>
            <w:r w:rsidRPr="00681F52">
              <w:rPr>
                <w:rFonts w:ascii="Arial" w:eastAsia="Times New Roman" w:hAnsi="Arial" w:cs="Arial"/>
                <w:bCs/>
                <w:iCs/>
                <w:sz w:val="18"/>
                <w:szCs w:val="18"/>
              </w:rPr>
              <w:t>Visina naknade za vođenje računa određuje se prema utrošku materijala, trošku vanjskih usluga i kadrovskih resursa Banke neophodnih za izvršenje ugovora, odnosno prema godišnjoj stopi inflacije prema zvaničnim podacima koje objavljuje Agencija za statistiku BiH za proteklu godinu i to primjenom istog objavljenog procenta povećanja pri čemu se usklađivanje visine naknada vrši samo ako stopa inflacije za proteklu godinu pređe stopu 5%. Tarife naknada kao svojevrstan cjenovnik dodatnih uslužnih poslova su, obzirom na prethodno navedeno, promjenjiva kategorija i mijenjaju se s vremena na vrijeme.</w:t>
            </w:r>
          </w:p>
        </w:tc>
      </w:tr>
      <w:tr w:rsidR="00681F52" w:rsidRPr="00F317DA" w14:paraId="7B2CF2DA" w14:textId="77777777" w:rsidTr="00BB49FE">
        <w:tc>
          <w:tcPr>
            <w:tcW w:w="755" w:type="pct"/>
            <w:tcBorders>
              <w:top w:val="dotted" w:sz="4" w:space="0" w:color="808080"/>
              <w:bottom w:val="dotted" w:sz="4" w:space="0" w:color="808080"/>
              <w:right w:val="single" w:sz="4" w:space="0" w:color="7F7F7F"/>
            </w:tcBorders>
            <w:shd w:val="clear" w:color="auto" w:fill="FFFFFF"/>
          </w:tcPr>
          <w:p w14:paraId="323F4B78" w14:textId="77777777" w:rsidR="00681F52" w:rsidRPr="00F317DA" w:rsidRDefault="00681F52" w:rsidP="00681F52">
            <w:pPr>
              <w:spacing w:after="0"/>
              <w:rPr>
                <w:rFonts w:ascii="Arial" w:eastAsia="Times New Roman" w:hAnsi="Arial" w:cs="Arial"/>
                <w:b/>
                <w:bCs/>
                <w:i/>
                <w:iCs/>
                <w:sz w:val="18"/>
                <w:szCs w:val="18"/>
              </w:rPr>
            </w:pPr>
            <w:r>
              <w:rPr>
                <w:rFonts w:ascii="Arial" w:eastAsia="Times New Roman" w:hAnsi="Arial" w:cs="Arial"/>
                <w:b/>
                <w:bCs/>
                <w:i/>
                <w:iCs/>
                <w:sz w:val="18"/>
                <w:szCs w:val="18"/>
              </w:rPr>
              <w:t>Pravo k</w:t>
            </w:r>
            <w:r w:rsidRPr="00F317DA">
              <w:rPr>
                <w:rFonts w:ascii="Arial" w:eastAsia="Times New Roman" w:hAnsi="Arial" w:cs="Arial"/>
                <w:b/>
                <w:bCs/>
                <w:i/>
                <w:iCs/>
                <w:sz w:val="18"/>
                <w:szCs w:val="18"/>
              </w:rPr>
              <w:t xml:space="preserve">orisnika da na zahtjev </w:t>
            </w:r>
            <w:r>
              <w:rPr>
                <w:rFonts w:ascii="Arial" w:eastAsia="Times New Roman" w:hAnsi="Arial" w:cs="Arial"/>
                <w:b/>
                <w:bCs/>
                <w:i/>
                <w:iCs/>
                <w:sz w:val="18"/>
                <w:szCs w:val="18"/>
              </w:rPr>
              <w:t xml:space="preserve">dobije </w:t>
            </w:r>
            <w:r>
              <w:rPr>
                <w:rFonts w:ascii="Arial" w:eastAsia="Times New Roman" w:hAnsi="Arial" w:cs="Arial"/>
                <w:b/>
                <w:bCs/>
                <w:i/>
                <w:iCs/>
                <w:sz w:val="18"/>
                <w:szCs w:val="18"/>
              </w:rPr>
              <w:lastRenderedPageBreak/>
              <w:t>besplatnu kopiju nacrta u</w:t>
            </w:r>
            <w:r w:rsidRPr="00F317DA">
              <w:rPr>
                <w:rFonts w:ascii="Arial" w:eastAsia="Times New Roman" w:hAnsi="Arial" w:cs="Arial"/>
                <w:b/>
                <w:bCs/>
                <w:i/>
                <w:iCs/>
                <w:sz w:val="18"/>
                <w:szCs w:val="18"/>
              </w:rPr>
              <w:t>govora</w:t>
            </w:r>
          </w:p>
        </w:tc>
        <w:tc>
          <w:tcPr>
            <w:tcW w:w="4245" w:type="pct"/>
            <w:gridSpan w:val="2"/>
            <w:tcBorders>
              <w:top w:val="dotted" w:sz="4" w:space="0" w:color="808080"/>
              <w:bottom w:val="dotted" w:sz="4" w:space="0" w:color="808080"/>
            </w:tcBorders>
            <w:shd w:val="clear" w:color="auto" w:fill="auto"/>
          </w:tcPr>
          <w:p w14:paraId="413F0BF7" w14:textId="77777777" w:rsidR="00681F52" w:rsidRDefault="00681F52" w:rsidP="00681F52">
            <w:pPr>
              <w:spacing w:after="0"/>
              <w:jc w:val="both"/>
              <w:rPr>
                <w:rFonts w:ascii="Arial" w:eastAsia="Times New Roman" w:hAnsi="Arial" w:cs="Arial"/>
                <w:iCs/>
                <w:sz w:val="18"/>
                <w:szCs w:val="18"/>
              </w:rPr>
            </w:pPr>
          </w:p>
          <w:p w14:paraId="2ABAE69D" w14:textId="77777777" w:rsidR="00681F52" w:rsidRDefault="00681F52" w:rsidP="00681F52">
            <w:pPr>
              <w:spacing w:after="0"/>
              <w:jc w:val="both"/>
              <w:rPr>
                <w:rFonts w:ascii="Arial" w:eastAsia="Times New Roman" w:hAnsi="Arial" w:cs="Arial"/>
                <w:iCs/>
                <w:sz w:val="18"/>
                <w:szCs w:val="18"/>
              </w:rPr>
            </w:pPr>
          </w:p>
          <w:p w14:paraId="5F2DCD61" w14:textId="77777777" w:rsidR="00681F52" w:rsidRPr="00F317DA" w:rsidRDefault="00681F52" w:rsidP="00681F52">
            <w:pPr>
              <w:spacing w:after="0"/>
              <w:ind w:right="160"/>
              <w:jc w:val="both"/>
              <w:rPr>
                <w:rFonts w:ascii="Arial" w:eastAsia="Times New Roman" w:hAnsi="Arial" w:cs="Arial"/>
                <w:iCs/>
                <w:sz w:val="18"/>
                <w:szCs w:val="18"/>
              </w:rPr>
            </w:pPr>
            <w:r>
              <w:rPr>
                <w:rFonts w:ascii="Arial" w:eastAsia="Times New Roman" w:hAnsi="Arial" w:cs="Arial"/>
                <w:iCs/>
                <w:sz w:val="18"/>
                <w:szCs w:val="18"/>
              </w:rPr>
              <w:lastRenderedPageBreak/>
              <w:t xml:space="preserve">U pregovaračkoj fazi, korisnik </w:t>
            </w:r>
            <w:r w:rsidRPr="00F317DA">
              <w:rPr>
                <w:rFonts w:ascii="Arial" w:eastAsia="Times New Roman" w:hAnsi="Arial" w:cs="Arial"/>
                <w:iCs/>
                <w:sz w:val="18"/>
                <w:szCs w:val="18"/>
              </w:rPr>
              <w:t xml:space="preserve">ima pravo da </w:t>
            </w:r>
            <w:r>
              <w:rPr>
                <w:rFonts w:ascii="Arial" w:eastAsia="Times New Roman" w:hAnsi="Arial" w:cs="Arial"/>
                <w:iCs/>
                <w:sz w:val="18"/>
                <w:szCs w:val="18"/>
              </w:rPr>
              <w:t>dobije besplatnu kopiju nacrta u</w:t>
            </w:r>
            <w:r w:rsidRPr="00F317DA">
              <w:rPr>
                <w:rFonts w:ascii="Arial" w:eastAsia="Times New Roman" w:hAnsi="Arial" w:cs="Arial"/>
                <w:iCs/>
                <w:sz w:val="18"/>
                <w:szCs w:val="18"/>
              </w:rPr>
              <w:t xml:space="preserve">govora, izuzev ako Banka ocijeni da ne želi zasnovati odnos sa </w:t>
            </w:r>
            <w:r>
              <w:rPr>
                <w:rFonts w:ascii="Arial" w:eastAsia="Times New Roman" w:hAnsi="Arial" w:cs="Arial"/>
                <w:iCs/>
                <w:sz w:val="18"/>
                <w:szCs w:val="18"/>
              </w:rPr>
              <w:t>istim</w:t>
            </w:r>
            <w:r w:rsidRPr="00F317DA">
              <w:rPr>
                <w:rFonts w:ascii="Arial" w:eastAsia="Times New Roman" w:hAnsi="Arial" w:cs="Arial"/>
                <w:iCs/>
                <w:sz w:val="18"/>
                <w:szCs w:val="18"/>
              </w:rPr>
              <w:t xml:space="preserve"> u konkretnom pravnom poslu.</w:t>
            </w:r>
          </w:p>
        </w:tc>
      </w:tr>
      <w:tr w:rsidR="00681F52" w:rsidRPr="00F317DA" w14:paraId="091E2560" w14:textId="77777777" w:rsidTr="00BB49FE">
        <w:tc>
          <w:tcPr>
            <w:tcW w:w="755" w:type="pct"/>
            <w:tcBorders>
              <w:top w:val="dotted" w:sz="4" w:space="0" w:color="808080"/>
              <w:bottom w:val="dotted" w:sz="4" w:space="0" w:color="808080"/>
              <w:right w:val="single" w:sz="4" w:space="0" w:color="7F7F7F"/>
            </w:tcBorders>
            <w:shd w:val="clear" w:color="auto" w:fill="FFFFFF"/>
          </w:tcPr>
          <w:p w14:paraId="066D95A0" w14:textId="77777777" w:rsidR="00681F52" w:rsidRPr="00F317DA" w:rsidRDefault="00681F52" w:rsidP="00681F52">
            <w:pPr>
              <w:spacing w:after="0"/>
              <w:rPr>
                <w:rFonts w:ascii="Arial" w:eastAsia="Times New Roman" w:hAnsi="Arial" w:cs="Arial"/>
                <w:b/>
                <w:bCs/>
                <w:i/>
                <w:iCs/>
                <w:sz w:val="18"/>
                <w:szCs w:val="18"/>
              </w:rPr>
            </w:pPr>
            <w:r w:rsidRPr="00A777A8">
              <w:rPr>
                <w:rFonts w:ascii="Arial" w:eastAsia="Times New Roman" w:hAnsi="Arial" w:cs="Arial"/>
                <w:b/>
                <w:bCs/>
                <w:i/>
                <w:iCs/>
                <w:sz w:val="18"/>
                <w:szCs w:val="18"/>
              </w:rPr>
              <w:lastRenderedPageBreak/>
              <w:t>Informacija o obavezi korištenja nota</w:t>
            </w:r>
            <w:r>
              <w:rPr>
                <w:rFonts w:ascii="Arial" w:eastAsia="Times New Roman" w:hAnsi="Arial" w:cs="Arial"/>
                <w:b/>
                <w:bCs/>
                <w:i/>
                <w:iCs/>
                <w:sz w:val="18"/>
                <w:szCs w:val="18"/>
              </w:rPr>
              <w:t>rs</w:t>
            </w:r>
            <w:r w:rsidRPr="00A777A8">
              <w:rPr>
                <w:rFonts w:ascii="Arial" w:eastAsia="Times New Roman" w:hAnsi="Arial" w:cs="Arial"/>
                <w:b/>
                <w:bCs/>
                <w:i/>
                <w:iCs/>
                <w:sz w:val="18"/>
                <w:szCs w:val="18"/>
              </w:rPr>
              <w:t>kih usluga</w:t>
            </w:r>
          </w:p>
        </w:tc>
        <w:tc>
          <w:tcPr>
            <w:tcW w:w="4245" w:type="pct"/>
            <w:gridSpan w:val="2"/>
            <w:tcBorders>
              <w:top w:val="dotted" w:sz="4" w:space="0" w:color="808080"/>
              <w:bottom w:val="dotted" w:sz="4" w:space="0" w:color="808080"/>
            </w:tcBorders>
            <w:shd w:val="clear" w:color="auto" w:fill="auto"/>
          </w:tcPr>
          <w:p w14:paraId="5B5C5E01" w14:textId="77777777" w:rsidR="00681F52" w:rsidRDefault="00681F52" w:rsidP="00681F52">
            <w:pPr>
              <w:spacing w:after="0"/>
              <w:ind w:right="160"/>
              <w:jc w:val="both"/>
              <w:rPr>
                <w:rFonts w:ascii="Arial" w:eastAsia="Times New Roman" w:hAnsi="Arial" w:cs="Arial"/>
                <w:bCs/>
                <w:iCs/>
                <w:sz w:val="18"/>
                <w:szCs w:val="18"/>
              </w:rPr>
            </w:pPr>
          </w:p>
          <w:p w14:paraId="3511DB7D" w14:textId="0E6F354C" w:rsidR="00681F52" w:rsidRPr="00A777A8" w:rsidRDefault="00681F52" w:rsidP="00681F52">
            <w:pPr>
              <w:spacing w:after="0"/>
              <w:ind w:right="160"/>
              <w:jc w:val="both"/>
              <w:rPr>
                <w:rFonts w:ascii="Arial" w:eastAsia="Times New Roman" w:hAnsi="Arial" w:cs="Arial"/>
                <w:bCs/>
                <w:iCs/>
                <w:sz w:val="18"/>
                <w:szCs w:val="18"/>
              </w:rPr>
            </w:pPr>
            <w:r w:rsidRPr="00A777A8">
              <w:rPr>
                <w:rFonts w:ascii="Arial" w:eastAsia="Times New Roman" w:hAnsi="Arial" w:cs="Arial"/>
                <w:bCs/>
                <w:iCs/>
                <w:sz w:val="18"/>
                <w:szCs w:val="18"/>
              </w:rPr>
              <w:t>Korištenje notarskih usluga je moguće u slučaju kada se daju posebne punomoći drugim licima za raspolaganje sredstvima depozita.</w:t>
            </w:r>
            <w:r>
              <w:rPr>
                <w:rFonts w:ascii="Arial" w:eastAsia="Times New Roman" w:hAnsi="Arial" w:cs="Arial"/>
                <w:bCs/>
                <w:iCs/>
                <w:sz w:val="18"/>
                <w:szCs w:val="18"/>
              </w:rPr>
              <w:t xml:space="preserve"> Troškovi ovise o t</w:t>
            </w:r>
            <w:r w:rsidRPr="00A777A8">
              <w:rPr>
                <w:rFonts w:ascii="Arial" w:eastAsia="Times New Roman" w:hAnsi="Arial" w:cs="Arial"/>
                <w:bCs/>
                <w:iCs/>
                <w:sz w:val="18"/>
                <w:szCs w:val="18"/>
              </w:rPr>
              <w:t>arifi organa koji vrši ovjeru ili izdaje dokument.</w:t>
            </w:r>
          </w:p>
        </w:tc>
      </w:tr>
      <w:tr w:rsidR="00681F52" w:rsidRPr="00F317DA" w14:paraId="3DF2457C" w14:textId="77777777" w:rsidTr="00BB49FE">
        <w:tc>
          <w:tcPr>
            <w:tcW w:w="755" w:type="pct"/>
            <w:tcBorders>
              <w:top w:val="dotted" w:sz="4" w:space="0" w:color="808080"/>
              <w:bottom w:val="dotted" w:sz="4" w:space="0" w:color="808080"/>
              <w:right w:val="single" w:sz="4" w:space="0" w:color="7F7F7F"/>
            </w:tcBorders>
            <w:shd w:val="clear" w:color="auto" w:fill="FFFFFF"/>
          </w:tcPr>
          <w:p w14:paraId="648C9AFB" w14:textId="77777777" w:rsidR="00681F52" w:rsidRPr="00407470" w:rsidRDefault="00681F52" w:rsidP="00681F52">
            <w:pPr>
              <w:spacing w:after="0"/>
              <w:rPr>
                <w:rFonts w:ascii="Arial" w:eastAsia="Times New Roman" w:hAnsi="Arial" w:cs="Arial"/>
                <w:b/>
                <w:bCs/>
                <w:i/>
                <w:iCs/>
                <w:sz w:val="18"/>
                <w:szCs w:val="18"/>
              </w:rPr>
            </w:pPr>
            <w:r w:rsidRPr="00407470">
              <w:rPr>
                <w:rFonts w:ascii="Arial" w:eastAsia="Times New Roman" w:hAnsi="Arial" w:cs="Arial"/>
                <w:b/>
                <w:bCs/>
                <w:i/>
                <w:iCs/>
                <w:sz w:val="18"/>
                <w:szCs w:val="18"/>
              </w:rPr>
              <w:t>Zaštita tajnosti</w:t>
            </w:r>
          </w:p>
          <w:p w14:paraId="0122777D" w14:textId="77777777" w:rsidR="00681F52" w:rsidRPr="00A777A8" w:rsidRDefault="00681F52" w:rsidP="00681F52">
            <w:pPr>
              <w:spacing w:after="0"/>
              <w:rPr>
                <w:rFonts w:ascii="Arial" w:eastAsia="Times New Roman" w:hAnsi="Arial" w:cs="Arial"/>
                <w:b/>
                <w:bCs/>
                <w:i/>
                <w:iCs/>
                <w:sz w:val="18"/>
                <w:szCs w:val="18"/>
              </w:rPr>
            </w:pPr>
            <w:r>
              <w:rPr>
                <w:rFonts w:ascii="Arial" w:eastAsia="Times New Roman" w:hAnsi="Arial" w:cs="Arial"/>
                <w:b/>
                <w:bCs/>
                <w:i/>
                <w:iCs/>
                <w:sz w:val="18"/>
                <w:szCs w:val="18"/>
              </w:rPr>
              <w:t>l</w:t>
            </w:r>
            <w:r w:rsidRPr="00407470">
              <w:rPr>
                <w:rFonts w:ascii="Arial" w:eastAsia="Times New Roman" w:hAnsi="Arial" w:cs="Arial"/>
                <w:b/>
                <w:bCs/>
                <w:i/>
                <w:iCs/>
                <w:sz w:val="18"/>
                <w:szCs w:val="18"/>
              </w:rPr>
              <w:t>ičnih podataka</w:t>
            </w:r>
          </w:p>
        </w:tc>
        <w:tc>
          <w:tcPr>
            <w:tcW w:w="4245" w:type="pct"/>
            <w:gridSpan w:val="2"/>
            <w:tcBorders>
              <w:top w:val="dotted" w:sz="4" w:space="0" w:color="808080"/>
              <w:bottom w:val="dotted" w:sz="4" w:space="0" w:color="808080"/>
            </w:tcBorders>
            <w:shd w:val="clear" w:color="auto" w:fill="auto"/>
          </w:tcPr>
          <w:p w14:paraId="224EA3E5" w14:textId="77777777" w:rsidR="00681F52" w:rsidRPr="00A777A8" w:rsidRDefault="00681F52" w:rsidP="00681F52">
            <w:pPr>
              <w:spacing w:after="0"/>
              <w:ind w:right="160"/>
              <w:jc w:val="both"/>
              <w:rPr>
                <w:rFonts w:ascii="Arial" w:eastAsia="Times New Roman" w:hAnsi="Arial" w:cs="Arial"/>
                <w:bCs/>
                <w:iCs/>
                <w:sz w:val="18"/>
                <w:szCs w:val="18"/>
              </w:rPr>
            </w:pPr>
            <w:r w:rsidRPr="00407470">
              <w:rPr>
                <w:rFonts w:ascii="Arial" w:eastAsia="Times New Roman" w:hAnsi="Arial" w:cs="Arial"/>
                <w:bCs/>
                <w:iCs/>
                <w:sz w:val="18"/>
                <w:szCs w:val="18"/>
              </w:rPr>
              <w:t xml:space="preserve">Podatke  o  </w:t>
            </w:r>
            <w:r>
              <w:rPr>
                <w:rFonts w:ascii="Arial" w:eastAsia="Times New Roman" w:hAnsi="Arial" w:cs="Arial"/>
                <w:bCs/>
                <w:iCs/>
                <w:sz w:val="18"/>
                <w:szCs w:val="18"/>
              </w:rPr>
              <w:t>korisniku</w:t>
            </w:r>
            <w:r w:rsidRPr="00407470">
              <w:rPr>
                <w:rFonts w:ascii="Arial" w:eastAsia="Times New Roman" w:hAnsi="Arial" w:cs="Arial"/>
                <w:bCs/>
                <w:iCs/>
                <w:sz w:val="18"/>
                <w:szCs w:val="18"/>
              </w:rPr>
              <w:t>,  Banka  je  dužna  čuvati  kao  poslovnu  tajnu,  u  skladu  sa  Zakonom  o  zaštiti  ličnih podataka, izuzev kada je zakonskim i podzakonskim propisima dužna dati informacije nadležnim organima.</w:t>
            </w:r>
          </w:p>
        </w:tc>
      </w:tr>
      <w:tr w:rsidR="00681F52" w:rsidRPr="00F317DA" w14:paraId="4BBDF6A7" w14:textId="77777777" w:rsidTr="00BB49FE">
        <w:tc>
          <w:tcPr>
            <w:tcW w:w="755" w:type="pct"/>
            <w:tcBorders>
              <w:top w:val="dotted" w:sz="4" w:space="0" w:color="808080"/>
              <w:bottom w:val="dotted" w:sz="4" w:space="0" w:color="808080"/>
              <w:right w:val="single" w:sz="4" w:space="0" w:color="7F7F7F"/>
            </w:tcBorders>
            <w:shd w:val="clear" w:color="auto" w:fill="FFFFFF"/>
          </w:tcPr>
          <w:p w14:paraId="12607B5B" w14:textId="77777777" w:rsidR="00681F52" w:rsidRPr="00407470" w:rsidRDefault="00681F52" w:rsidP="00681F52">
            <w:pPr>
              <w:spacing w:after="0"/>
              <w:rPr>
                <w:rFonts w:ascii="Arial" w:eastAsia="Times New Roman" w:hAnsi="Arial" w:cs="Arial"/>
                <w:b/>
                <w:bCs/>
                <w:i/>
                <w:iCs/>
                <w:sz w:val="18"/>
                <w:szCs w:val="18"/>
              </w:rPr>
            </w:pPr>
            <w:r w:rsidRPr="00F317DA">
              <w:rPr>
                <w:rFonts w:ascii="Arial" w:eastAsia="Times New Roman" w:hAnsi="Arial" w:cs="Arial"/>
                <w:b/>
                <w:bCs/>
                <w:i/>
                <w:iCs/>
                <w:sz w:val="18"/>
                <w:szCs w:val="18"/>
              </w:rPr>
              <w:t>Period važenja podataka</w:t>
            </w:r>
          </w:p>
        </w:tc>
        <w:tc>
          <w:tcPr>
            <w:tcW w:w="4245" w:type="pct"/>
            <w:gridSpan w:val="2"/>
            <w:tcBorders>
              <w:top w:val="dotted" w:sz="4" w:space="0" w:color="808080"/>
              <w:bottom w:val="dotted" w:sz="4" w:space="0" w:color="808080"/>
            </w:tcBorders>
            <w:shd w:val="clear" w:color="auto" w:fill="auto"/>
          </w:tcPr>
          <w:p w14:paraId="1A691100" w14:textId="77777777" w:rsidR="00681F52" w:rsidRPr="00407470" w:rsidRDefault="00681F52" w:rsidP="00681F52">
            <w:pPr>
              <w:spacing w:after="0"/>
              <w:ind w:right="160"/>
              <w:jc w:val="both"/>
              <w:rPr>
                <w:rFonts w:ascii="Arial" w:eastAsia="Times New Roman" w:hAnsi="Arial" w:cs="Arial"/>
                <w:bCs/>
                <w:iCs/>
                <w:sz w:val="18"/>
                <w:szCs w:val="18"/>
              </w:rPr>
            </w:pPr>
            <w:r w:rsidRPr="00F317DA">
              <w:rPr>
                <w:rFonts w:ascii="Arial" w:eastAsia="Times New Roman" w:hAnsi="Arial" w:cs="Arial"/>
                <w:bCs/>
                <w:iCs/>
                <w:sz w:val="18"/>
                <w:szCs w:val="18"/>
              </w:rPr>
              <w:t xml:space="preserve">Svi podaci i uslovi navedeni u ovom Informacionom listu na reprezentativnom primjeru usluge važe 15 </w:t>
            </w:r>
            <w:r>
              <w:rPr>
                <w:rFonts w:ascii="Arial" w:eastAsia="Times New Roman" w:hAnsi="Arial" w:cs="Arial"/>
                <w:bCs/>
                <w:iCs/>
                <w:sz w:val="18"/>
                <w:szCs w:val="18"/>
              </w:rPr>
              <w:t xml:space="preserve">(petnaest) </w:t>
            </w:r>
            <w:r w:rsidRPr="00F317DA">
              <w:rPr>
                <w:rFonts w:ascii="Arial" w:eastAsia="Times New Roman" w:hAnsi="Arial" w:cs="Arial"/>
                <w:bCs/>
                <w:iCs/>
                <w:sz w:val="18"/>
                <w:szCs w:val="18"/>
              </w:rPr>
              <w:t>dana od datuma preuzimanja Informacionog lista.</w:t>
            </w:r>
          </w:p>
        </w:tc>
      </w:tr>
    </w:tbl>
    <w:p w14:paraId="5B144E4C" w14:textId="2EA5B6EB" w:rsidR="0045329A" w:rsidRPr="00F317DA" w:rsidRDefault="0045329A" w:rsidP="00542935">
      <w:pPr>
        <w:spacing w:after="0"/>
        <w:rPr>
          <w:rFonts w:ascii="Arial" w:hAnsi="Arial" w:cs="Arial"/>
          <w:sz w:val="18"/>
          <w:szCs w:val="18"/>
        </w:rPr>
      </w:pPr>
    </w:p>
    <w:p w14:paraId="350CAA01" w14:textId="77777777" w:rsidR="0045329A" w:rsidRPr="00F317DA" w:rsidRDefault="0045329A" w:rsidP="00542935">
      <w:pPr>
        <w:spacing w:after="0"/>
        <w:ind w:left="142" w:firstLine="142"/>
        <w:rPr>
          <w:rFonts w:ascii="Arial" w:hAnsi="Arial" w:cs="Arial"/>
          <w:b/>
          <w:sz w:val="18"/>
          <w:szCs w:val="18"/>
        </w:rPr>
      </w:pPr>
      <w:r w:rsidRPr="00F317DA">
        <w:rPr>
          <w:rFonts w:ascii="Arial" w:hAnsi="Arial" w:cs="Arial"/>
          <w:b/>
          <w:sz w:val="18"/>
          <w:szCs w:val="18"/>
        </w:rPr>
        <w:t>REPREZENTATIVNI PRIMJER:</w:t>
      </w:r>
    </w:p>
    <w:p w14:paraId="41E2AD86" w14:textId="77777777" w:rsidR="0045329A" w:rsidRPr="00F317DA" w:rsidRDefault="0045329A" w:rsidP="00542935">
      <w:pPr>
        <w:spacing w:after="0"/>
        <w:jc w:val="center"/>
        <w:rPr>
          <w:rFonts w:ascii="Arial" w:hAnsi="Arial" w:cs="Arial"/>
          <w:b/>
          <w:sz w:val="18"/>
          <w:szCs w:val="18"/>
          <w:u w:val="single"/>
        </w:rPr>
      </w:pPr>
    </w:p>
    <w:tbl>
      <w:tblPr>
        <w:tblW w:w="10177"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7"/>
        <w:gridCol w:w="1213"/>
        <w:gridCol w:w="1275"/>
        <w:gridCol w:w="1701"/>
        <w:gridCol w:w="1560"/>
        <w:gridCol w:w="1275"/>
        <w:gridCol w:w="1956"/>
      </w:tblGrid>
      <w:tr w:rsidR="0045329A" w:rsidRPr="00F317DA" w14:paraId="0F913A8D" w14:textId="77777777" w:rsidTr="00681F52">
        <w:trPr>
          <w:trHeight w:val="1154"/>
        </w:trPr>
        <w:tc>
          <w:tcPr>
            <w:tcW w:w="1197" w:type="dxa"/>
            <w:tcBorders>
              <w:bottom w:val="dotted" w:sz="4" w:space="0" w:color="808080"/>
            </w:tcBorders>
            <w:shd w:val="clear" w:color="auto" w:fill="auto"/>
            <w:vAlign w:val="center"/>
            <w:hideMark/>
          </w:tcPr>
          <w:p w14:paraId="3027BA42" w14:textId="77777777" w:rsidR="0045329A" w:rsidRPr="00F317DA" w:rsidRDefault="0045329A" w:rsidP="00542935">
            <w:pPr>
              <w:spacing w:after="0"/>
              <w:ind w:firstLine="30"/>
              <w:jc w:val="center"/>
              <w:rPr>
                <w:rFonts w:ascii="Arial" w:hAnsi="Arial" w:cs="Arial"/>
                <w:sz w:val="18"/>
                <w:szCs w:val="18"/>
              </w:rPr>
            </w:pPr>
            <w:r w:rsidRPr="00F317DA">
              <w:rPr>
                <w:rFonts w:ascii="Arial" w:hAnsi="Arial" w:cs="Arial"/>
                <w:sz w:val="18"/>
                <w:szCs w:val="18"/>
              </w:rPr>
              <w:t xml:space="preserve">Iznos oročene štednje </w:t>
            </w:r>
          </w:p>
        </w:tc>
        <w:tc>
          <w:tcPr>
            <w:tcW w:w="1213" w:type="dxa"/>
            <w:tcBorders>
              <w:bottom w:val="dotted" w:sz="4" w:space="0" w:color="808080"/>
            </w:tcBorders>
          </w:tcPr>
          <w:p w14:paraId="7F2141E0" w14:textId="77777777" w:rsidR="0045329A" w:rsidRDefault="0045329A" w:rsidP="00542935">
            <w:pPr>
              <w:spacing w:after="0"/>
              <w:jc w:val="center"/>
              <w:rPr>
                <w:rFonts w:ascii="Arial" w:hAnsi="Arial" w:cs="Arial"/>
                <w:sz w:val="18"/>
                <w:szCs w:val="18"/>
              </w:rPr>
            </w:pPr>
          </w:p>
          <w:p w14:paraId="39E92EA7" w14:textId="77777777" w:rsidR="0045329A" w:rsidRDefault="0045329A" w:rsidP="00542935">
            <w:pPr>
              <w:spacing w:after="0"/>
              <w:jc w:val="center"/>
              <w:rPr>
                <w:rFonts w:ascii="Arial" w:hAnsi="Arial" w:cs="Arial"/>
                <w:sz w:val="18"/>
                <w:szCs w:val="18"/>
              </w:rPr>
            </w:pPr>
          </w:p>
          <w:p w14:paraId="41AF954F" w14:textId="77777777" w:rsidR="0045329A" w:rsidRDefault="0045329A" w:rsidP="00542935">
            <w:pPr>
              <w:spacing w:after="0"/>
              <w:jc w:val="center"/>
              <w:rPr>
                <w:rFonts w:ascii="Arial" w:hAnsi="Arial" w:cs="Arial"/>
                <w:sz w:val="18"/>
                <w:szCs w:val="18"/>
              </w:rPr>
            </w:pPr>
          </w:p>
          <w:p w14:paraId="07FFCCF9" w14:textId="77777777" w:rsidR="0045329A" w:rsidRDefault="0045329A" w:rsidP="00542935">
            <w:pPr>
              <w:spacing w:after="0"/>
              <w:jc w:val="center"/>
              <w:rPr>
                <w:rFonts w:ascii="Arial" w:hAnsi="Arial" w:cs="Arial"/>
                <w:sz w:val="18"/>
                <w:szCs w:val="18"/>
              </w:rPr>
            </w:pPr>
            <w:r>
              <w:rPr>
                <w:rFonts w:ascii="Arial" w:hAnsi="Arial" w:cs="Arial"/>
                <w:sz w:val="18"/>
                <w:szCs w:val="18"/>
              </w:rPr>
              <w:t>Valuta</w:t>
            </w:r>
          </w:p>
          <w:p w14:paraId="7B6714B1" w14:textId="77777777" w:rsidR="0045329A" w:rsidRDefault="0045329A" w:rsidP="00542935">
            <w:pPr>
              <w:spacing w:after="0"/>
              <w:jc w:val="center"/>
              <w:rPr>
                <w:rFonts w:ascii="Arial" w:hAnsi="Arial" w:cs="Arial"/>
                <w:sz w:val="18"/>
                <w:szCs w:val="18"/>
              </w:rPr>
            </w:pPr>
          </w:p>
          <w:p w14:paraId="3C91B8E5" w14:textId="77777777" w:rsidR="0045329A" w:rsidRPr="00F317DA" w:rsidRDefault="0045329A" w:rsidP="00542935">
            <w:pPr>
              <w:spacing w:after="0"/>
              <w:jc w:val="center"/>
              <w:rPr>
                <w:rFonts w:ascii="Arial" w:hAnsi="Arial" w:cs="Arial"/>
                <w:sz w:val="18"/>
                <w:szCs w:val="18"/>
              </w:rPr>
            </w:pPr>
          </w:p>
        </w:tc>
        <w:tc>
          <w:tcPr>
            <w:tcW w:w="1275" w:type="dxa"/>
            <w:tcBorders>
              <w:bottom w:val="dotted" w:sz="4" w:space="0" w:color="808080"/>
            </w:tcBorders>
            <w:shd w:val="clear" w:color="auto" w:fill="auto"/>
            <w:vAlign w:val="center"/>
            <w:hideMark/>
          </w:tcPr>
          <w:p w14:paraId="3D6F06ED" w14:textId="77777777" w:rsidR="0045329A" w:rsidRPr="00F317DA" w:rsidRDefault="0045329A" w:rsidP="00542935">
            <w:pPr>
              <w:spacing w:after="0"/>
              <w:jc w:val="center"/>
              <w:rPr>
                <w:rFonts w:ascii="Arial" w:hAnsi="Arial" w:cs="Arial"/>
                <w:sz w:val="18"/>
                <w:szCs w:val="18"/>
              </w:rPr>
            </w:pPr>
            <w:r w:rsidRPr="00F317DA">
              <w:rPr>
                <w:rFonts w:ascii="Arial" w:hAnsi="Arial" w:cs="Arial"/>
                <w:sz w:val="18"/>
                <w:szCs w:val="18"/>
              </w:rPr>
              <w:t>Period oročenja</w:t>
            </w:r>
          </w:p>
        </w:tc>
        <w:tc>
          <w:tcPr>
            <w:tcW w:w="1701" w:type="dxa"/>
            <w:tcBorders>
              <w:bottom w:val="dotted" w:sz="4" w:space="0" w:color="808080"/>
            </w:tcBorders>
            <w:shd w:val="clear" w:color="auto" w:fill="auto"/>
            <w:vAlign w:val="center"/>
            <w:hideMark/>
          </w:tcPr>
          <w:p w14:paraId="676994DA" w14:textId="77777777" w:rsidR="0045329A" w:rsidRPr="00F317DA" w:rsidRDefault="0045329A" w:rsidP="00542935">
            <w:pPr>
              <w:spacing w:after="0"/>
              <w:jc w:val="center"/>
              <w:rPr>
                <w:rFonts w:ascii="Arial" w:hAnsi="Arial" w:cs="Arial"/>
                <w:sz w:val="18"/>
                <w:szCs w:val="18"/>
              </w:rPr>
            </w:pPr>
            <w:r w:rsidRPr="00F317DA">
              <w:rPr>
                <w:rFonts w:ascii="Arial" w:hAnsi="Arial" w:cs="Arial"/>
                <w:sz w:val="18"/>
                <w:szCs w:val="18"/>
              </w:rPr>
              <w:t>Nominalna kamatna stopa na godišnjem nivou</w:t>
            </w:r>
          </w:p>
        </w:tc>
        <w:tc>
          <w:tcPr>
            <w:tcW w:w="1560" w:type="dxa"/>
            <w:tcBorders>
              <w:bottom w:val="dotted" w:sz="4" w:space="0" w:color="808080"/>
            </w:tcBorders>
            <w:shd w:val="clear" w:color="auto" w:fill="auto"/>
            <w:vAlign w:val="center"/>
            <w:hideMark/>
          </w:tcPr>
          <w:p w14:paraId="58805878" w14:textId="77777777" w:rsidR="0045329A" w:rsidRPr="00F317DA" w:rsidRDefault="0045329A" w:rsidP="00542935">
            <w:pPr>
              <w:spacing w:after="0"/>
              <w:jc w:val="center"/>
              <w:rPr>
                <w:rFonts w:ascii="Arial" w:hAnsi="Arial" w:cs="Arial"/>
                <w:sz w:val="18"/>
                <w:szCs w:val="18"/>
              </w:rPr>
            </w:pPr>
            <w:r w:rsidRPr="00F317DA">
              <w:rPr>
                <w:rFonts w:ascii="Arial" w:hAnsi="Arial" w:cs="Arial"/>
                <w:sz w:val="18"/>
                <w:szCs w:val="18"/>
              </w:rPr>
              <w:t>Efektivna kamatna stopa na godišnjem nivou</w:t>
            </w:r>
          </w:p>
        </w:tc>
        <w:tc>
          <w:tcPr>
            <w:tcW w:w="1275" w:type="dxa"/>
            <w:tcBorders>
              <w:bottom w:val="dotted" w:sz="4" w:space="0" w:color="808080"/>
              <w:right w:val="dotted" w:sz="4" w:space="0" w:color="808080"/>
            </w:tcBorders>
            <w:shd w:val="clear" w:color="auto" w:fill="auto"/>
            <w:vAlign w:val="center"/>
            <w:hideMark/>
          </w:tcPr>
          <w:p w14:paraId="4ECED54D" w14:textId="77777777" w:rsidR="0045329A" w:rsidRPr="00F317DA" w:rsidRDefault="0045329A" w:rsidP="00542935">
            <w:pPr>
              <w:spacing w:after="0"/>
              <w:jc w:val="center"/>
              <w:rPr>
                <w:rFonts w:ascii="Arial" w:hAnsi="Arial" w:cs="Arial"/>
                <w:sz w:val="18"/>
                <w:szCs w:val="18"/>
              </w:rPr>
            </w:pPr>
            <w:r w:rsidRPr="00F317DA">
              <w:rPr>
                <w:rFonts w:ascii="Arial" w:hAnsi="Arial" w:cs="Arial"/>
                <w:sz w:val="18"/>
                <w:szCs w:val="18"/>
              </w:rPr>
              <w:t>Iznos kamate</w:t>
            </w:r>
          </w:p>
        </w:tc>
        <w:tc>
          <w:tcPr>
            <w:tcW w:w="1956" w:type="dxa"/>
            <w:tcBorders>
              <w:bottom w:val="dotted" w:sz="4" w:space="0" w:color="808080"/>
              <w:right w:val="dotted" w:sz="4" w:space="0" w:color="808080"/>
            </w:tcBorders>
            <w:shd w:val="clear" w:color="auto" w:fill="auto"/>
            <w:vAlign w:val="center"/>
          </w:tcPr>
          <w:p w14:paraId="6FD9BF6A" w14:textId="77777777" w:rsidR="0045329A" w:rsidRPr="00F317DA" w:rsidRDefault="0045329A" w:rsidP="00542935">
            <w:pPr>
              <w:spacing w:after="0"/>
              <w:jc w:val="center"/>
              <w:rPr>
                <w:rFonts w:ascii="Arial" w:hAnsi="Arial" w:cs="Arial"/>
                <w:sz w:val="18"/>
                <w:szCs w:val="18"/>
              </w:rPr>
            </w:pPr>
            <w:r w:rsidRPr="00F317DA">
              <w:rPr>
                <w:rFonts w:ascii="Arial" w:hAnsi="Arial" w:cs="Arial"/>
                <w:sz w:val="18"/>
                <w:szCs w:val="18"/>
              </w:rPr>
              <w:t>Ukupan iznos isplate depozita istekom perioda oročenja</w:t>
            </w:r>
          </w:p>
        </w:tc>
      </w:tr>
      <w:tr w:rsidR="0045329A" w:rsidRPr="00F317DA" w14:paraId="79928598" w14:textId="77777777" w:rsidTr="00BB49FE">
        <w:trPr>
          <w:trHeight w:val="582"/>
        </w:trPr>
        <w:tc>
          <w:tcPr>
            <w:tcW w:w="1197" w:type="dxa"/>
            <w:tcBorders>
              <w:top w:val="dotted" w:sz="4" w:space="0" w:color="808080"/>
            </w:tcBorders>
            <w:shd w:val="clear" w:color="auto" w:fill="auto"/>
            <w:vAlign w:val="center"/>
          </w:tcPr>
          <w:p w14:paraId="517FDC35" w14:textId="48E1846E" w:rsidR="0045329A" w:rsidRPr="00F317DA" w:rsidRDefault="00967812" w:rsidP="00542935">
            <w:pPr>
              <w:spacing w:after="0"/>
              <w:ind w:firstLine="30"/>
              <w:jc w:val="center"/>
              <w:rPr>
                <w:rFonts w:ascii="Arial" w:hAnsi="Arial" w:cs="Arial"/>
                <w:sz w:val="18"/>
                <w:szCs w:val="18"/>
              </w:rPr>
            </w:pPr>
            <w:r>
              <w:rPr>
                <w:rFonts w:ascii="Arial" w:hAnsi="Arial" w:cs="Arial"/>
                <w:sz w:val="18"/>
                <w:szCs w:val="18"/>
              </w:rPr>
              <w:t>50.000,00</w:t>
            </w:r>
          </w:p>
        </w:tc>
        <w:tc>
          <w:tcPr>
            <w:tcW w:w="1213" w:type="dxa"/>
            <w:tcBorders>
              <w:top w:val="dotted" w:sz="4" w:space="0" w:color="808080"/>
            </w:tcBorders>
            <w:vAlign w:val="center"/>
          </w:tcPr>
          <w:p w14:paraId="312FC4CE" w14:textId="0F74E4A9" w:rsidR="0045329A" w:rsidRDefault="00967812" w:rsidP="00542935">
            <w:pPr>
              <w:spacing w:after="0"/>
              <w:jc w:val="center"/>
              <w:rPr>
                <w:rFonts w:ascii="Arial" w:hAnsi="Arial" w:cs="Arial"/>
                <w:sz w:val="18"/>
                <w:szCs w:val="18"/>
              </w:rPr>
            </w:pPr>
            <w:r>
              <w:rPr>
                <w:rFonts w:ascii="Arial" w:hAnsi="Arial" w:cs="Arial"/>
                <w:sz w:val="18"/>
                <w:szCs w:val="18"/>
              </w:rPr>
              <w:t>KM</w:t>
            </w:r>
          </w:p>
        </w:tc>
        <w:tc>
          <w:tcPr>
            <w:tcW w:w="1275" w:type="dxa"/>
            <w:tcBorders>
              <w:top w:val="dotted" w:sz="4" w:space="0" w:color="808080"/>
            </w:tcBorders>
            <w:shd w:val="clear" w:color="auto" w:fill="auto"/>
            <w:vAlign w:val="center"/>
          </w:tcPr>
          <w:p w14:paraId="109DEDBA" w14:textId="0C91BAD4" w:rsidR="0045329A" w:rsidRPr="00F317DA" w:rsidRDefault="00967812" w:rsidP="00542935">
            <w:pPr>
              <w:spacing w:after="0"/>
              <w:jc w:val="center"/>
              <w:rPr>
                <w:rFonts w:ascii="Arial" w:hAnsi="Arial" w:cs="Arial"/>
                <w:sz w:val="18"/>
                <w:szCs w:val="18"/>
              </w:rPr>
            </w:pPr>
            <w:r>
              <w:rPr>
                <w:rFonts w:ascii="Arial" w:hAnsi="Arial" w:cs="Arial"/>
                <w:sz w:val="18"/>
                <w:szCs w:val="18"/>
              </w:rPr>
              <w:t>13</w:t>
            </w:r>
          </w:p>
        </w:tc>
        <w:tc>
          <w:tcPr>
            <w:tcW w:w="1701" w:type="dxa"/>
            <w:tcBorders>
              <w:top w:val="dotted" w:sz="4" w:space="0" w:color="808080"/>
            </w:tcBorders>
            <w:shd w:val="clear" w:color="auto" w:fill="auto"/>
            <w:vAlign w:val="center"/>
          </w:tcPr>
          <w:p w14:paraId="15B5B8B6" w14:textId="4C931338" w:rsidR="0045329A" w:rsidRPr="00F317DA" w:rsidRDefault="00967812" w:rsidP="00542935">
            <w:pPr>
              <w:spacing w:after="0"/>
              <w:jc w:val="center"/>
              <w:rPr>
                <w:rFonts w:ascii="Arial" w:hAnsi="Arial" w:cs="Arial"/>
                <w:sz w:val="18"/>
                <w:szCs w:val="18"/>
              </w:rPr>
            </w:pPr>
            <w:r>
              <w:rPr>
                <w:rFonts w:ascii="Arial" w:hAnsi="Arial" w:cs="Arial"/>
                <w:sz w:val="18"/>
                <w:szCs w:val="18"/>
              </w:rPr>
              <w:t>0,20%</w:t>
            </w:r>
          </w:p>
        </w:tc>
        <w:tc>
          <w:tcPr>
            <w:tcW w:w="1560" w:type="dxa"/>
            <w:tcBorders>
              <w:top w:val="dotted" w:sz="4" w:space="0" w:color="808080"/>
            </w:tcBorders>
            <w:shd w:val="clear" w:color="auto" w:fill="auto"/>
            <w:vAlign w:val="center"/>
          </w:tcPr>
          <w:p w14:paraId="777BE42C" w14:textId="6F82AFD5" w:rsidR="0045329A" w:rsidRPr="00F317DA" w:rsidRDefault="00967812" w:rsidP="00542935">
            <w:pPr>
              <w:spacing w:after="0"/>
              <w:jc w:val="center"/>
              <w:rPr>
                <w:rFonts w:ascii="Arial" w:hAnsi="Arial" w:cs="Arial"/>
                <w:sz w:val="18"/>
                <w:szCs w:val="18"/>
              </w:rPr>
            </w:pPr>
            <w:r>
              <w:rPr>
                <w:rFonts w:ascii="Arial" w:hAnsi="Arial" w:cs="Arial"/>
                <w:sz w:val="18"/>
                <w:szCs w:val="18"/>
              </w:rPr>
              <w:t>0,16%</w:t>
            </w:r>
          </w:p>
        </w:tc>
        <w:tc>
          <w:tcPr>
            <w:tcW w:w="1275" w:type="dxa"/>
            <w:tcBorders>
              <w:top w:val="dotted" w:sz="4" w:space="0" w:color="808080"/>
              <w:right w:val="dotted" w:sz="4" w:space="0" w:color="808080"/>
            </w:tcBorders>
            <w:shd w:val="clear" w:color="auto" w:fill="auto"/>
            <w:vAlign w:val="center"/>
          </w:tcPr>
          <w:p w14:paraId="66ED65D1" w14:textId="21D1B144" w:rsidR="0045329A" w:rsidRPr="00F317DA" w:rsidRDefault="00967812" w:rsidP="00542935">
            <w:pPr>
              <w:spacing w:after="0"/>
              <w:jc w:val="center"/>
              <w:rPr>
                <w:rFonts w:ascii="Arial" w:hAnsi="Arial" w:cs="Arial"/>
                <w:sz w:val="18"/>
                <w:szCs w:val="18"/>
              </w:rPr>
            </w:pPr>
            <w:r>
              <w:rPr>
                <w:rFonts w:ascii="Arial" w:hAnsi="Arial" w:cs="Arial"/>
                <w:sz w:val="18"/>
                <w:szCs w:val="18"/>
              </w:rPr>
              <w:t>108,</w:t>
            </w:r>
            <w:r w:rsidR="00394076">
              <w:rPr>
                <w:rFonts w:ascii="Arial" w:hAnsi="Arial" w:cs="Arial"/>
                <w:sz w:val="18"/>
                <w:szCs w:val="18"/>
              </w:rPr>
              <w:t>49</w:t>
            </w:r>
          </w:p>
        </w:tc>
        <w:tc>
          <w:tcPr>
            <w:tcW w:w="1956" w:type="dxa"/>
            <w:tcBorders>
              <w:top w:val="dotted" w:sz="4" w:space="0" w:color="808080"/>
              <w:right w:val="dotted" w:sz="4" w:space="0" w:color="808080"/>
            </w:tcBorders>
            <w:shd w:val="clear" w:color="auto" w:fill="auto"/>
            <w:vAlign w:val="center"/>
          </w:tcPr>
          <w:p w14:paraId="3C67EA41" w14:textId="3A1A8362" w:rsidR="0045329A" w:rsidRPr="00F317DA" w:rsidRDefault="00967812" w:rsidP="00542935">
            <w:pPr>
              <w:spacing w:after="0"/>
              <w:jc w:val="center"/>
              <w:rPr>
                <w:rFonts w:ascii="Arial" w:hAnsi="Arial" w:cs="Arial"/>
                <w:sz w:val="18"/>
                <w:szCs w:val="18"/>
              </w:rPr>
            </w:pPr>
            <w:r>
              <w:rPr>
                <w:rFonts w:ascii="Arial" w:hAnsi="Arial" w:cs="Arial"/>
                <w:sz w:val="18"/>
                <w:szCs w:val="18"/>
              </w:rPr>
              <w:t>50.088,99</w:t>
            </w:r>
          </w:p>
        </w:tc>
      </w:tr>
    </w:tbl>
    <w:p w14:paraId="1FE21001" w14:textId="7BC0E5D7" w:rsidR="0045329A" w:rsidRDefault="0045329A" w:rsidP="00542935">
      <w:pPr>
        <w:spacing w:after="0"/>
        <w:jc w:val="both"/>
        <w:rPr>
          <w:rFonts w:ascii="Arial" w:hAnsi="Arial" w:cs="Arial"/>
          <w:b/>
          <w:sz w:val="18"/>
          <w:szCs w:val="18"/>
        </w:rPr>
      </w:pPr>
    </w:p>
    <w:p w14:paraId="3708BB82" w14:textId="12D7176A" w:rsidR="0045329A" w:rsidRDefault="0045329A" w:rsidP="00542935">
      <w:pPr>
        <w:spacing w:after="0"/>
        <w:jc w:val="both"/>
        <w:rPr>
          <w:rFonts w:ascii="Arial" w:hAnsi="Arial" w:cs="Arial"/>
          <w:b/>
          <w:sz w:val="18"/>
          <w:szCs w:val="18"/>
        </w:rPr>
      </w:pPr>
    </w:p>
    <w:p w14:paraId="60AA0849" w14:textId="77777777" w:rsidR="00EE4311" w:rsidRPr="00F317DA" w:rsidRDefault="00EE4311" w:rsidP="00542935">
      <w:pPr>
        <w:spacing w:after="0"/>
        <w:jc w:val="both"/>
        <w:rPr>
          <w:rFonts w:ascii="Arial" w:hAnsi="Arial" w:cs="Arial"/>
          <w:b/>
          <w:sz w:val="18"/>
          <w:szCs w:val="18"/>
        </w:rPr>
      </w:pPr>
    </w:p>
    <w:p w14:paraId="650E4364" w14:textId="77777777" w:rsidR="0045329A" w:rsidRDefault="0045329A" w:rsidP="00542935">
      <w:pPr>
        <w:spacing w:after="0"/>
        <w:ind w:firstLine="284"/>
        <w:jc w:val="both"/>
        <w:rPr>
          <w:rFonts w:ascii="Arial" w:hAnsi="Arial" w:cs="Arial"/>
          <w:sz w:val="18"/>
          <w:szCs w:val="18"/>
        </w:rPr>
      </w:pPr>
      <w:r w:rsidRPr="00F317DA">
        <w:rPr>
          <w:rFonts w:ascii="Arial" w:hAnsi="Arial" w:cs="Arial"/>
          <w:sz w:val="18"/>
          <w:szCs w:val="18"/>
        </w:rPr>
        <w:t>U izračun efekti</w:t>
      </w:r>
      <w:r>
        <w:rPr>
          <w:rFonts w:ascii="Arial" w:hAnsi="Arial" w:cs="Arial"/>
          <w:sz w:val="18"/>
          <w:szCs w:val="18"/>
        </w:rPr>
        <w:t>vne kamatne stope uključene su:</w:t>
      </w:r>
    </w:p>
    <w:p w14:paraId="6F3C3302" w14:textId="77777777" w:rsidR="0045329A" w:rsidRPr="00F317DA" w:rsidRDefault="0045329A" w:rsidP="00542935">
      <w:pPr>
        <w:spacing w:after="0"/>
        <w:jc w:val="both"/>
        <w:rPr>
          <w:rFonts w:ascii="Arial" w:hAnsi="Arial" w:cs="Arial"/>
          <w:sz w:val="18"/>
          <w:szCs w:val="18"/>
        </w:rPr>
      </w:pPr>
    </w:p>
    <w:p w14:paraId="737DD234" w14:textId="79980075" w:rsidR="0045329A" w:rsidRDefault="0045329A" w:rsidP="00542935">
      <w:pPr>
        <w:numPr>
          <w:ilvl w:val="0"/>
          <w:numId w:val="2"/>
        </w:numPr>
        <w:spacing w:after="0"/>
        <w:jc w:val="both"/>
        <w:rPr>
          <w:rFonts w:ascii="Arial" w:hAnsi="Arial" w:cs="Arial"/>
          <w:sz w:val="18"/>
          <w:szCs w:val="18"/>
        </w:rPr>
      </w:pPr>
      <w:r w:rsidRPr="00F317DA">
        <w:rPr>
          <w:rFonts w:ascii="Arial" w:hAnsi="Arial" w:cs="Arial"/>
          <w:sz w:val="18"/>
          <w:szCs w:val="18"/>
        </w:rPr>
        <w:t>nominalna kamatna stopa na depozi</w:t>
      </w:r>
      <w:r>
        <w:rPr>
          <w:rFonts w:ascii="Arial" w:hAnsi="Arial" w:cs="Arial"/>
          <w:sz w:val="18"/>
          <w:szCs w:val="18"/>
        </w:rPr>
        <w:t>t</w:t>
      </w:r>
      <w:r w:rsidRPr="00F317DA">
        <w:rPr>
          <w:rFonts w:ascii="Arial" w:hAnsi="Arial" w:cs="Arial"/>
          <w:sz w:val="18"/>
          <w:szCs w:val="18"/>
        </w:rPr>
        <w:t xml:space="preserve"> u iznosu </w:t>
      </w:r>
      <w:r w:rsidR="00967812">
        <w:rPr>
          <w:rFonts w:ascii="Arial" w:hAnsi="Arial" w:cs="Arial"/>
          <w:sz w:val="18"/>
          <w:szCs w:val="18"/>
        </w:rPr>
        <w:t>0,20</w:t>
      </w:r>
      <w:r w:rsidRPr="00277A65">
        <w:rPr>
          <w:rFonts w:ascii="Arial" w:hAnsi="Arial" w:cs="Arial"/>
          <w:sz w:val="18"/>
          <w:szCs w:val="18"/>
        </w:rPr>
        <w:t>%;</w:t>
      </w:r>
    </w:p>
    <w:p w14:paraId="3CF6061C" w14:textId="5AF60806" w:rsidR="0045329A" w:rsidRDefault="0045329A" w:rsidP="00542935">
      <w:pPr>
        <w:numPr>
          <w:ilvl w:val="0"/>
          <w:numId w:val="2"/>
        </w:numPr>
        <w:spacing w:after="0"/>
        <w:jc w:val="both"/>
        <w:rPr>
          <w:rFonts w:ascii="Arial" w:hAnsi="Arial" w:cs="Arial"/>
          <w:sz w:val="18"/>
          <w:szCs w:val="18"/>
        </w:rPr>
      </w:pPr>
      <w:r w:rsidRPr="0045329A">
        <w:rPr>
          <w:rFonts w:ascii="Arial" w:hAnsi="Arial" w:cs="Arial"/>
          <w:sz w:val="18"/>
          <w:szCs w:val="18"/>
        </w:rPr>
        <w:t xml:space="preserve">naknada za vođenje štednog računa u iznosu od KM </w:t>
      </w:r>
      <w:r w:rsidR="00967812">
        <w:rPr>
          <w:rFonts w:ascii="Arial" w:hAnsi="Arial" w:cs="Arial"/>
          <w:sz w:val="18"/>
          <w:szCs w:val="18"/>
        </w:rPr>
        <w:t>1,50*</w:t>
      </w:r>
    </w:p>
    <w:p w14:paraId="7CAE40A1" w14:textId="43F26736" w:rsidR="00967812" w:rsidRDefault="00967812" w:rsidP="00967812">
      <w:pPr>
        <w:spacing w:after="0"/>
        <w:jc w:val="both"/>
        <w:rPr>
          <w:rFonts w:ascii="Arial" w:hAnsi="Arial" w:cs="Arial"/>
          <w:sz w:val="18"/>
          <w:szCs w:val="18"/>
        </w:rPr>
      </w:pPr>
    </w:p>
    <w:p w14:paraId="456E4CDF" w14:textId="3387E114" w:rsidR="00967812" w:rsidRDefault="00967812" w:rsidP="00967812">
      <w:pPr>
        <w:spacing w:after="0"/>
        <w:jc w:val="both"/>
        <w:rPr>
          <w:rFonts w:ascii="Arial" w:hAnsi="Arial" w:cs="Arial"/>
          <w:sz w:val="18"/>
          <w:szCs w:val="18"/>
        </w:rPr>
      </w:pPr>
    </w:p>
    <w:p w14:paraId="7ED27C7A" w14:textId="6BFE47B5" w:rsidR="00967812" w:rsidRDefault="00967812" w:rsidP="00967812">
      <w:pPr>
        <w:spacing w:after="0"/>
        <w:jc w:val="both"/>
        <w:rPr>
          <w:rFonts w:ascii="Arial" w:hAnsi="Arial" w:cs="Arial"/>
          <w:sz w:val="18"/>
          <w:szCs w:val="18"/>
        </w:rPr>
      </w:pPr>
    </w:p>
    <w:p w14:paraId="1511E078" w14:textId="69DD1CDB" w:rsidR="00967812" w:rsidRDefault="00967812" w:rsidP="00967812">
      <w:pPr>
        <w:spacing w:after="0"/>
        <w:jc w:val="both"/>
        <w:rPr>
          <w:rFonts w:ascii="Arial" w:hAnsi="Arial" w:cs="Arial"/>
          <w:sz w:val="18"/>
          <w:szCs w:val="18"/>
        </w:rPr>
      </w:pPr>
    </w:p>
    <w:p w14:paraId="62A8DF6A" w14:textId="038FC7E5" w:rsidR="00967812" w:rsidRDefault="00967812" w:rsidP="00967812">
      <w:pPr>
        <w:spacing w:after="0"/>
        <w:jc w:val="both"/>
        <w:rPr>
          <w:rFonts w:ascii="Arial" w:hAnsi="Arial" w:cs="Arial"/>
          <w:sz w:val="18"/>
          <w:szCs w:val="18"/>
        </w:rPr>
      </w:pPr>
    </w:p>
    <w:p w14:paraId="3DF43C43" w14:textId="5DB8A649" w:rsidR="00967812" w:rsidRDefault="00967812" w:rsidP="00967812">
      <w:pPr>
        <w:spacing w:after="0"/>
        <w:jc w:val="both"/>
        <w:rPr>
          <w:rFonts w:ascii="Arial" w:hAnsi="Arial" w:cs="Arial"/>
          <w:sz w:val="18"/>
          <w:szCs w:val="18"/>
        </w:rPr>
      </w:pPr>
    </w:p>
    <w:p w14:paraId="0FD03775" w14:textId="41EC3D6C" w:rsidR="00967812" w:rsidRDefault="00967812" w:rsidP="00967812">
      <w:pPr>
        <w:spacing w:after="0"/>
        <w:jc w:val="both"/>
        <w:rPr>
          <w:rFonts w:ascii="Arial" w:hAnsi="Arial" w:cs="Arial"/>
          <w:sz w:val="18"/>
          <w:szCs w:val="18"/>
        </w:rPr>
      </w:pPr>
    </w:p>
    <w:p w14:paraId="1EFD41BC" w14:textId="74CF998B" w:rsidR="00967812" w:rsidRDefault="00967812" w:rsidP="00967812">
      <w:pPr>
        <w:spacing w:after="0"/>
        <w:jc w:val="both"/>
        <w:rPr>
          <w:rFonts w:ascii="Arial" w:hAnsi="Arial" w:cs="Arial"/>
          <w:sz w:val="18"/>
          <w:szCs w:val="18"/>
        </w:rPr>
      </w:pPr>
    </w:p>
    <w:p w14:paraId="5B4257F0" w14:textId="1B348880" w:rsidR="00967812" w:rsidRDefault="00967812" w:rsidP="00967812">
      <w:pPr>
        <w:spacing w:after="0"/>
        <w:jc w:val="both"/>
        <w:rPr>
          <w:rFonts w:ascii="Arial" w:hAnsi="Arial" w:cs="Arial"/>
          <w:sz w:val="18"/>
          <w:szCs w:val="18"/>
        </w:rPr>
      </w:pPr>
    </w:p>
    <w:p w14:paraId="49656912" w14:textId="527CB7D2" w:rsidR="00967812" w:rsidRDefault="00967812" w:rsidP="00967812">
      <w:pPr>
        <w:spacing w:after="0"/>
        <w:jc w:val="both"/>
        <w:rPr>
          <w:rFonts w:ascii="Arial" w:hAnsi="Arial" w:cs="Arial"/>
          <w:sz w:val="18"/>
          <w:szCs w:val="18"/>
        </w:rPr>
      </w:pPr>
    </w:p>
    <w:p w14:paraId="15A4DCCA" w14:textId="70B701A1" w:rsidR="00967812" w:rsidRDefault="00967812" w:rsidP="00967812">
      <w:pPr>
        <w:spacing w:after="0"/>
        <w:jc w:val="both"/>
        <w:rPr>
          <w:rFonts w:ascii="Arial" w:hAnsi="Arial" w:cs="Arial"/>
          <w:sz w:val="18"/>
          <w:szCs w:val="18"/>
        </w:rPr>
      </w:pPr>
    </w:p>
    <w:p w14:paraId="37C66BEF" w14:textId="18776915" w:rsidR="00967812" w:rsidRDefault="00967812" w:rsidP="00967812">
      <w:pPr>
        <w:spacing w:after="0"/>
        <w:jc w:val="both"/>
        <w:rPr>
          <w:rFonts w:ascii="Arial" w:hAnsi="Arial" w:cs="Arial"/>
          <w:sz w:val="18"/>
          <w:szCs w:val="18"/>
        </w:rPr>
      </w:pPr>
    </w:p>
    <w:p w14:paraId="38070200" w14:textId="7FE49CC0" w:rsidR="00EE4311" w:rsidRDefault="00EE4311" w:rsidP="00967812">
      <w:pPr>
        <w:spacing w:after="0"/>
        <w:jc w:val="both"/>
        <w:rPr>
          <w:rFonts w:ascii="Arial" w:hAnsi="Arial" w:cs="Arial"/>
          <w:sz w:val="18"/>
          <w:szCs w:val="18"/>
        </w:rPr>
      </w:pPr>
    </w:p>
    <w:p w14:paraId="005E8164" w14:textId="449694BF" w:rsidR="00EE4311" w:rsidRDefault="00EE4311" w:rsidP="00967812">
      <w:pPr>
        <w:spacing w:after="0"/>
        <w:jc w:val="both"/>
        <w:rPr>
          <w:rFonts w:ascii="Arial" w:hAnsi="Arial" w:cs="Arial"/>
          <w:sz w:val="18"/>
          <w:szCs w:val="18"/>
        </w:rPr>
      </w:pPr>
    </w:p>
    <w:p w14:paraId="5FD53ECD" w14:textId="77777777" w:rsidR="00EE4311" w:rsidRDefault="00EE4311" w:rsidP="00967812">
      <w:pPr>
        <w:spacing w:after="0"/>
        <w:jc w:val="both"/>
        <w:rPr>
          <w:rFonts w:ascii="Arial" w:hAnsi="Arial" w:cs="Arial"/>
          <w:sz w:val="18"/>
          <w:szCs w:val="18"/>
        </w:rPr>
      </w:pPr>
    </w:p>
    <w:p w14:paraId="505DA180" w14:textId="33098BC9" w:rsidR="00967812" w:rsidRDefault="00967812" w:rsidP="00967812">
      <w:pPr>
        <w:spacing w:after="0"/>
        <w:jc w:val="both"/>
        <w:rPr>
          <w:rFonts w:ascii="Arial" w:hAnsi="Arial" w:cs="Arial"/>
          <w:sz w:val="18"/>
          <w:szCs w:val="18"/>
        </w:rPr>
      </w:pPr>
    </w:p>
    <w:p w14:paraId="10446129" w14:textId="2A500BC8" w:rsidR="00967812" w:rsidRDefault="00967812" w:rsidP="00967812">
      <w:pPr>
        <w:spacing w:after="0"/>
        <w:jc w:val="both"/>
        <w:rPr>
          <w:rFonts w:ascii="Arial" w:hAnsi="Arial" w:cs="Arial"/>
          <w:sz w:val="18"/>
          <w:szCs w:val="18"/>
        </w:rPr>
      </w:pPr>
    </w:p>
    <w:p w14:paraId="5BE0BFBC" w14:textId="62BF2B89" w:rsidR="00967812" w:rsidRPr="0045329A" w:rsidRDefault="00967812" w:rsidP="00967812">
      <w:pPr>
        <w:spacing w:after="0"/>
        <w:jc w:val="both"/>
        <w:rPr>
          <w:rFonts w:ascii="Arial" w:hAnsi="Arial" w:cs="Arial"/>
          <w:sz w:val="18"/>
          <w:szCs w:val="18"/>
        </w:rPr>
      </w:pPr>
      <w:r>
        <w:rPr>
          <w:rFonts w:ascii="Arial" w:hAnsi="Arial" w:cs="Arial"/>
          <w:sz w:val="18"/>
          <w:szCs w:val="18"/>
        </w:rPr>
        <w:t>*Ukoliko je klijent štedni račun otvorio ranije i neovisno o ugovaranju oročenog depozita, naknada za vođenje štednog računa neće biti uključena u izračun efektivne kamatne stope oročenog depozita.</w:t>
      </w:r>
    </w:p>
    <w:p w14:paraId="24E62669" w14:textId="6B82E25A" w:rsidR="0045329A" w:rsidRDefault="0045329A" w:rsidP="00542935">
      <w:pPr>
        <w:spacing w:after="0"/>
        <w:rPr>
          <w:rFonts w:ascii="Arial" w:hAnsi="Arial" w:cs="Arial"/>
          <w:sz w:val="18"/>
          <w:szCs w:val="18"/>
        </w:rPr>
      </w:pPr>
    </w:p>
    <w:p w14:paraId="173278B4" w14:textId="77777777" w:rsidR="00681F52" w:rsidRPr="0089174C" w:rsidRDefault="00681F52" w:rsidP="00542935">
      <w:pPr>
        <w:spacing w:after="0"/>
        <w:rPr>
          <w:rFonts w:ascii="Arial" w:hAnsi="Arial" w:cs="Arial"/>
          <w:sz w:val="18"/>
          <w:szCs w:val="18"/>
        </w:rPr>
      </w:pPr>
    </w:p>
    <w:p w14:paraId="2C5C3DC6" w14:textId="77777777" w:rsidR="0045329A" w:rsidRPr="0089174C" w:rsidRDefault="0045329A" w:rsidP="00542935">
      <w:pPr>
        <w:spacing w:after="0"/>
        <w:rPr>
          <w:rFonts w:ascii="Arial" w:hAnsi="Arial" w:cs="Arial"/>
          <w:sz w:val="18"/>
          <w:szCs w:val="18"/>
        </w:rPr>
      </w:pPr>
      <w:r>
        <w:rPr>
          <w:rFonts w:ascii="Arial" w:hAnsi="Arial" w:cs="Arial"/>
          <w:sz w:val="18"/>
          <w:szCs w:val="18"/>
        </w:rPr>
        <w:t xml:space="preserve">     </w:t>
      </w:r>
    </w:p>
    <w:bookmarkEnd w:id="0"/>
    <w:p w14:paraId="50ED9324" w14:textId="77777777" w:rsidR="000C793B" w:rsidRDefault="000C793B" w:rsidP="00542935"/>
    <w:sectPr w:rsidR="000C793B" w:rsidSect="00542935">
      <w:headerReference w:type="default" r:id="rId8"/>
      <w:footerReference w:type="default" r:id="rId9"/>
      <w:headerReference w:type="first" r:id="rId10"/>
      <w:footerReference w:type="first" r:id="rId11"/>
      <w:pgSz w:w="11906" w:h="16838"/>
      <w:pgMar w:top="1134" w:right="1134" w:bottom="1134" w:left="709"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B2E9" w14:textId="77777777" w:rsidR="00F718E0" w:rsidRDefault="00F718E0">
      <w:pPr>
        <w:spacing w:after="0" w:line="240" w:lineRule="auto"/>
      </w:pPr>
      <w:r>
        <w:separator/>
      </w:r>
    </w:p>
  </w:endnote>
  <w:endnote w:type="continuationSeparator" w:id="0">
    <w:p w14:paraId="5AEDFE83" w14:textId="77777777" w:rsidR="00F718E0" w:rsidRDefault="00F7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ADFE" w14:textId="6876B911" w:rsidR="00D60A1B" w:rsidRPr="00E41219" w:rsidRDefault="00B125FC" w:rsidP="00E41219">
    <w:pPr>
      <w:pStyle w:val="Footer"/>
      <w:spacing w:line="600" w:lineRule="auto"/>
      <w:rPr>
        <w:rFonts w:ascii="Arial" w:hAnsi="Arial" w:cs="Arial"/>
        <w:sz w:val="18"/>
        <w:szCs w:val="18"/>
      </w:rPr>
    </w:pPr>
    <w:r>
      <w:rPr>
        <w:rFonts w:ascii="Arial" w:hAnsi="Arial" w:cs="Arial"/>
        <w:sz w:val="18"/>
        <w:szCs w:val="18"/>
      </w:rPr>
      <w:t xml:space="preserve">      </w:t>
    </w:r>
    <w:r w:rsidRPr="00E41219">
      <w:rPr>
        <w:rFonts w:ascii="Arial" w:hAnsi="Arial" w:cs="Arial"/>
        <w:sz w:val="18"/>
        <w:szCs w:val="18"/>
      </w:rPr>
      <w:t xml:space="preserve">Ver </w:t>
    </w:r>
    <w:r w:rsidR="00154CE1">
      <w:rPr>
        <w:rFonts w:ascii="Arial" w:hAnsi="Arial" w:cs="Arial"/>
        <w:sz w:val="18"/>
        <w:szCs w:val="18"/>
      </w:rPr>
      <w:t>11</w:t>
    </w:r>
    <w:r w:rsidRPr="00E41219">
      <w:rPr>
        <w:rFonts w:ascii="Arial" w:hAnsi="Arial" w:cs="Arial"/>
        <w:sz w:val="18"/>
        <w:szCs w:val="18"/>
      </w:rPr>
      <w:t>2</w:t>
    </w:r>
    <w:r w:rsidR="00873968">
      <w:rPr>
        <w:rFonts w:ascii="Arial" w:hAnsi="Arial" w:cs="Arial"/>
        <w:sz w:val="18"/>
        <w:szCs w:val="18"/>
      </w:rPr>
      <w:t>2</w:t>
    </w:r>
    <w:r w:rsidRPr="00E41219">
      <w:rPr>
        <w:rFonts w:ascii="Arial" w:hAnsi="Arial" w:cs="Arial"/>
        <w:sz w:val="18"/>
        <w:szCs w:val="18"/>
      </w:rPr>
      <w:ptab w:relativeTo="margin" w:alignment="center" w:leader="none"/>
    </w:r>
    <w:r w:rsidRPr="00E41219">
      <w:rPr>
        <w:rFonts w:ascii="Arial" w:hAnsi="Arial" w:cs="Arial"/>
        <w:sz w:val="18"/>
        <w:szCs w:val="18"/>
      </w:rPr>
      <w:ptab w:relativeTo="margin" w:alignment="right" w:leader="none"/>
    </w:r>
    <w:r w:rsidRPr="00E41219">
      <w:rPr>
        <w:rFonts w:ascii="Arial" w:hAnsi="Arial" w:cs="Arial"/>
        <w:sz w:val="18"/>
        <w:szCs w:val="18"/>
      </w:rPr>
      <w:t xml:space="preserve"> </w:t>
    </w:r>
    <w:r w:rsidRPr="00E41219">
      <w:rPr>
        <w:rFonts w:ascii="Arial" w:hAnsi="Arial" w:cs="Arial"/>
        <w:b/>
        <w:bCs/>
        <w:sz w:val="18"/>
        <w:szCs w:val="18"/>
      </w:rPr>
      <w:fldChar w:fldCharType="begin"/>
    </w:r>
    <w:r w:rsidRPr="00E41219">
      <w:rPr>
        <w:rFonts w:ascii="Arial" w:hAnsi="Arial" w:cs="Arial"/>
        <w:b/>
        <w:bCs/>
        <w:sz w:val="18"/>
        <w:szCs w:val="18"/>
      </w:rPr>
      <w:instrText xml:space="preserve"> PAGE  \* Arabic  \* MERGEFORMAT </w:instrText>
    </w:r>
    <w:r w:rsidRPr="00E41219">
      <w:rPr>
        <w:rFonts w:ascii="Arial" w:hAnsi="Arial" w:cs="Arial"/>
        <w:b/>
        <w:bCs/>
        <w:sz w:val="18"/>
        <w:szCs w:val="18"/>
      </w:rPr>
      <w:fldChar w:fldCharType="separate"/>
    </w:r>
    <w:r w:rsidR="00F22B3E">
      <w:rPr>
        <w:rFonts w:ascii="Arial" w:hAnsi="Arial" w:cs="Arial"/>
        <w:b/>
        <w:bCs/>
        <w:noProof/>
        <w:sz w:val="18"/>
        <w:szCs w:val="18"/>
      </w:rPr>
      <w:t>2</w:t>
    </w:r>
    <w:r w:rsidRPr="00E41219">
      <w:rPr>
        <w:rFonts w:ascii="Arial" w:hAnsi="Arial" w:cs="Arial"/>
        <w:b/>
        <w:bCs/>
        <w:sz w:val="18"/>
        <w:szCs w:val="18"/>
      </w:rPr>
      <w:fldChar w:fldCharType="end"/>
    </w:r>
    <w:r w:rsidRPr="00E41219">
      <w:rPr>
        <w:rFonts w:ascii="Arial" w:hAnsi="Arial" w:cs="Arial"/>
        <w:sz w:val="18"/>
        <w:szCs w:val="18"/>
      </w:rPr>
      <w:t xml:space="preserve"> </w:t>
    </w:r>
    <w:r>
      <w:rPr>
        <w:rFonts w:ascii="Arial" w:hAnsi="Arial" w:cs="Arial"/>
        <w:sz w:val="18"/>
        <w:szCs w:val="18"/>
      </w:rPr>
      <w:t>/</w:t>
    </w:r>
    <w:r w:rsidRPr="00E41219">
      <w:rPr>
        <w:rFonts w:ascii="Arial" w:hAnsi="Arial" w:cs="Arial"/>
        <w:sz w:val="18"/>
        <w:szCs w:val="18"/>
      </w:rPr>
      <w:t xml:space="preserve"> </w:t>
    </w:r>
    <w:r w:rsidRPr="00E41219">
      <w:rPr>
        <w:rFonts w:ascii="Arial" w:hAnsi="Arial" w:cs="Arial"/>
        <w:b/>
        <w:bCs/>
        <w:sz w:val="18"/>
        <w:szCs w:val="18"/>
      </w:rPr>
      <w:fldChar w:fldCharType="begin"/>
    </w:r>
    <w:r w:rsidRPr="00E41219">
      <w:rPr>
        <w:rFonts w:ascii="Arial" w:hAnsi="Arial" w:cs="Arial"/>
        <w:b/>
        <w:bCs/>
        <w:sz w:val="18"/>
        <w:szCs w:val="18"/>
      </w:rPr>
      <w:instrText xml:space="preserve"> NUMPAGES  \* Arabic  \* MERGEFORMAT </w:instrText>
    </w:r>
    <w:r w:rsidRPr="00E41219">
      <w:rPr>
        <w:rFonts w:ascii="Arial" w:hAnsi="Arial" w:cs="Arial"/>
        <w:b/>
        <w:bCs/>
        <w:sz w:val="18"/>
        <w:szCs w:val="18"/>
      </w:rPr>
      <w:fldChar w:fldCharType="separate"/>
    </w:r>
    <w:r w:rsidR="00F22B3E">
      <w:rPr>
        <w:rFonts w:ascii="Arial" w:hAnsi="Arial" w:cs="Arial"/>
        <w:b/>
        <w:bCs/>
        <w:noProof/>
        <w:sz w:val="18"/>
        <w:szCs w:val="18"/>
      </w:rPr>
      <w:t>3</w:t>
    </w:r>
    <w:r w:rsidRPr="00E41219">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1FAA" w14:textId="096C63C9" w:rsidR="00D60A1B" w:rsidRDefault="00B125FC" w:rsidP="00E41219">
    <w:pPr>
      <w:pStyle w:val="Footer"/>
      <w:spacing w:line="720" w:lineRule="auto"/>
    </w:pPr>
    <w:r>
      <w:rPr>
        <w:rFonts w:ascii="Arial" w:hAnsi="Arial" w:cs="Arial"/>
        <w:sz w:val="18"/>
        <w:szCs w:val="18"/>
      </w:rPr>
      <w:t xml:space="preserve">     </w:t>
    </w:r>
    <w:r w:rsidRPr="00E41219">
      <w:rPr>
        <w:rFonts w:ascii="Arial" w:hAnsi="Arial" w:cs="Arial"/>
        <w:sz w:val="18"/>
        <w:szCs w:val="18"/>
      </w:rPr>
      <w:t xml:space="preserve">Ver </w:t>
    </w:r>
    <w:r w:rsidR="00154CE1">
      <w:rPr>
        <w:rFonts w:ascii="Arial" w:hAnsi="Arial" w:cs="Arial"/>
        <w:sz w:val="18"/>
        <w:szCs w:val="18"/>
      </w:rPr>
      <w:t>11</w:t>
    </w:r>
    <w:r w:rsidRPr="00E41219">
      <w:rPr>
        <w:rFonts w:ascii="Arial" w:hAnsi="Arial" w:cs="Arial"/>
        <w:sz w:val="18"/>
        <w:szCs w:val="18"/>
      </w:rPr>
      <w:t>2</w:t>
    </w:r>
    <w:r w:rsidR="00873968">
      <w:rPr>
        <w:rFonts w:ascii="Arial" w:hAnsi="Arial" w:cs="Arial"/>
        <w:sz w:val="18"/>
        <w:szCs w:val="18"/>
      </w:rPr>
      <w:t>2</w:t>
    </w:r>
    <w:r w:rsidRPr="00E41219">
      <w:rPr>
        <w:rFonts w:ascii="Arial" w:hAnsi="Arial" w:cs="Arial"/>
        <w:sz w:val="18"/>
        <w:szCs w:val="18"/>
      </w:rPr>
      <w:ptab w:relativeTo="margin" w:alignment="center" w:leader="none"/>
    </w:r>
    <w:r w:rsidRPr="00E41219">
      <w:rPr>
        <w:rFonts w:ascii="Arial" w:hAnsi="Arial" w:cs="Arial"/>
        <w:sz w:val="18"/>
        <w:szCs w:val="18"/>
      </w:rPr>
      <w:ptab w:relativeTo="margin" w:alignment="right" w:leader="none"/>
    </w:r>
    <w:r w:rsidRPr="00E41219">
      <w:rPr>
        <w:rFonts w:ascii="Arial" w:hAnsi="Arial" w:cs="Arial"/>
        <w:sz w:val="18"/>
        <w:szCs w:val="18"/>
      </w:rPr>
      <w:t xml:space="preserve"> </w:t>
    </w:r>
    <w:r w:rsidRPr="00E41219">
      <w:rPr>
        <w:rFonts w:ascii="Arial" w:hAnsi="Arial" w:cs="Arial"/>
        <w:b/>
        <w:bCs/>
        <w:sz w:val="18"/>
        <w:szCs w:val="18"/>
      </w:rPr>
      <w:fldChar w:fldCharType="begin"/>
    </w:r>
    <w:r w:rsidRPr="00E41219">
      <w:rPr>
        <w:rFonts w:ascii="Arial" w:hAnsi="Arial" w:cs="Arial"/>
        <w:b/>
        <w:bCs/>
        <w:sz w:val="18"/>
        <w:szCs w:val="18"/>
      </w:rPr>
      <w:instrText xml:space="preserve"> PAGE  \* Arabic  \* MERGEFORMAT </w:instrText>
    </w:r>
    <w:r w:rsidRPr="00E41219">
      <w:rPr>
        <w:rFonts w:ascii="Arial" w:hAnsi="Arial" w:cs="Arial"/>
        <w:b/>
        <w:bCs/>
        <w:sz w:val="18"/>
        <w:szCs w:val="18"/>
      </w:rPr>
      <w:fldChar w:fldCharType="separate"/>
    </w:r>
    <w:r w:rsidR="00F22B3E">
      <w:rPr>
        <w:rFonts w:ascii="Arial" w:hAnsi="Arial" w:cs="Arial"/>
        <w:b/>
        <w:bCs/>
        <w:noProof/>
        <w:sz w:val="18"/>
        <w:szCs w:val="18"/>
      </w:rPr>
      <w:t>1</w:t>
    </w:r>
    <w:r w:rsidRPr="00E41219">
      <w:rPr>
        <w:rFonts w:ascii="Arial" w:hAnsi="Arial" w:cs="Arial"/>
        <w:b/>
        <w:bCs/>
        <w:sz w:val="18"/>
        <w:szCs w:val="18"/>
      </w:rPr>
      <w:fldChar w:fldCharType="end"/>
    </w:r>
    <w:r w:rsidRPr="00E41219">
      <w:rPr>
        <w:rFonts w:ascii="Arial" w:hAnsi="Arial" w:cs="Arial"/>
        <w:sz w:val="18"/>
        <w:szCs w:val="18"/>
      </w:rPr>
      <w:t xml:space="preserve"> </w:t>
    </w:r>
    <w:r>
      <w:rPr>
        <w:rFonts w:ascii="Arial" w:hAnsi="Arial" w:cs="Arial"/>
        <w:sz w:val="18"/>
        <w:szCs w:val="18"/>
      </w:rPr>
      <w:t>/</w:t>
    </w:r>
    <w:r w:rsidRPr="00E41219">
      <w:rPr>
        <w:rFonts w:ascii="Arial" w:hAnsi="Arial" w:cs="Arial"/>
        <w:sz w:val="18"/>
        <w:szCs w:val="18"/>
      </w:rPr>
      <w:t xml:space="preserve"> </w:t>
    </w:r>
    <w:r w:rsidRPr="00E41219">
      <w:rPr>
        <w:rFonts w:ascii="Arial" w:hAnsi="Arial" w:cs="Arial"/>
        <w:b/>
        <w:bCs/>
        <w:sz w:val="18"/>
        <w:szCs w:val="18"/>
      </w:rPr>
      <w:fldChar w:fldCharType="begin"/>
    </w:r>
    <w:r w:rsidRPr="00E41219">
      <w:rPr>
        <w:rFonts w:ascii="Arial" w:hAnsi="Arial" w:cs="Arial"/>
        <w:b/>
        <w:bCs/>
        <w:sz w:val="18"/>
        <w:szCs w:val="18"/>
      </w:rPr>
      <w:instrText xml:space="preserve"> NUMPAGES  \* Arabic  \* MERGEFORMAT </w:instrText>
    </w:r>
    <w:r w:rsidRPr="00E41219">
      <w:rPr>
        <w:rFonts w:ascii="Arial" w:hAnsi="Arial" w:cs="Arial"/>
        <w:b/>
        <w:bCs/>
        <w:sz w:val="18"/>
        <w:szCs w:val="18"/>
      </w:rPr>
      <w:fldChar w:fldCharType="separate"/>
    </w:r>
    <w:r w:rsidR="00F22B3E">
      <w:rPr>
        <w:rFonts w:ascii="Arial" w:hAnsi="Arial" w:cs="Arial"/>
        <w:b/>
        <w:bCs/>
        <w:noProof/>
        <w:sz w:val="18"/>
        <w:szCs w:val="18"/>
      </w:rPr>
      <w:t>3</w:t>
    </w:r>
    <w:r w:rsidRPr="00E4121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403" w14:textId="77777777" w:rsidR="00F718E0" w:rsidRDefault="00F718E0">
      <w:pPr>
        <w:spacing w:after="0" w:line="240" w:lineRule="auto"/>
      </w:pPr>
      <w:r>
        <w:separator/>
      </w:r>
    </w:p>
  </w:footnote>
  <w:footnote w:type="continuationSeparator" w:id="0">
    <w:p w14:paraId="362BB7FF" w14:textId="77777777" w:rsidR="00F718E0" w:rsidRDefault="00F7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CFF" w14:textId="77777777" w:rsidR="00D60A1B" w:rsidRDefault="00B125FC" w:rsidP="00F03EB9">
    <w:pPr>
      <w:pStyle w:val="Header"/>
      <w:tabs>
        <w:tab w:val="left" w:pos="0"/>
      </w:tabs>
    </w:pPr>
    <w:r>
      <w:rPr>
        <w:noProof/>
        <w:lang w:eastAsia="hr-B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20E" w14:textId="77777777" w:rsidR="00D60A1B" w:rsidRPr="00E41219" w:rsidRDefault="00B125FC">
    <w:pPr>
      <w:pStyle w:val="Header"/>
      <w:rPr>
        <w:lang w:val="en-US"/>
      </w:rPr>
    </w:pPr>
    <w:r>
      <w:rPr>
        <w:lang w:val="en-US"/>
      </w:rPr>
      <w:t xml:space="preserve">       </w:t>
    </w:r>
    <w:r w:rsidRPr="00BB30D0">
      <w:rPr>
        <w:noProof/>
        <w:lang w:eastAsia="hr-BA"/>
      </w:rPr>
      <w:drawing>
        <wp:inline distT="0" distB="0" distL="0" distR="0" wp14:anchorId="5EE2809D" wp14:editId="016295F6">
          <wp:extent cx="3618865" cy="593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689" t="1135" b="15820"/>
                  <a:stretch/>
                </pic:blipFill>
                <pic:spPr bwMode="auto">
                  <a:xfrm>
                    <a:off x="0" y="0"/>
                    <a:ext cx="3627255" cy="594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51BF"/>
    <w:multiLevelType w:val="hybridMultilevel"/>
    <w:tmpl w:val="E632AFE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37B5605A"/>
    <w:multiLevelType w:val="hybridMultilevel"/>
    <w:tmpl w:val="CA70B95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9DA7477"/>
    <w:multiLevelType w:val="hybridMultilevel"/>
    <w:tmpl w:val="69C6669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7CBD2634"/>
    <w:multiLevelType w:val="hybridMultilevel"/>
    <w:tmpl w:val="C0480FE2"/>
    <w:lvl w:ilvl="0" w:tplc="101A0001">
      <w:start w:val="1"/>
      <w:numFmt w:val="bullet"/>
      <w:lvlText w:val=""/>
      <w:lvlJc w:val="left"/>
      <w:pPr>
        <w:ind w:left="1429" w:hanging="360"/>
      </w:pPr>
      <w:rPr>
        <w:rFonts w:ascii="Symbol" w:hAnsi="Symbol" w:hint="default"/>
      </w:rPr>
    </w:lvl>
    <w:lvl w:ilvl="1" w:tplc="101A0003" w:tentative="1">
      <w:start w:val="1"/>
      <w:numFmt w:val="bullet"/>
      <w:lvlText w:val="o"/>
      <w:lvlJc w:val="left"/>
      <w:pPr>
        <w:ind w:left="2149" w:hanging="360"/>
      </w:pPr>
      <w:rPr>
        <w:rFonts w:ascii="Courier New" w:hAnsi="Courier New" w:cs="Courier New" w:hint="default"/>
      </w:rPr>
    </w:lvl>
    <w:lvl w:ilvl="2" w:tplc="101A0005" w:tentative="1">
      <w:start w:val="1"/>
      <w:numFmt w:val="bullet"/>
      <w:lvlText w:val=""/>
      <w:lvlJc w:val="left"/>
      <w:pPr>
        <w:ind w:left="2869" w:hanging="360"/>
      </w:pPr>
      <w:rPr>
        <w:rFonts w:ascii="Wingdings" w:hAnsi="Wingdings" w:hint="default"/>
      </w:rPr>
    </w:lvl>
    <w:lvl w:ilvl="3" w:tplc="101A0001" w:tentative="1">
      <w:start w:val="1"/>
      <w:numFmt w:val="bullet"/>
      <w:lvlText w:val=""/>
      <w:lvlJc w:val="left"/>
      <w:pPr>
        <w:ind w:left="3589" w:hanging="360"/>
      </w:pPr>
      <w:rPr>
        <w:rFonts w:ascii="Symbol" w:hAnsi="Symbol" w:hint="default"/>
      </w:rPr>
    </w:lvl>
    <w:lvl w:ilvl="4" w:tplc="101A0003" w:tentative="1">
      <w:start w:val="1"/>
      <w:numFmt w:val="bullet"/>
      <w:lvlText w:val="o"/>
      <w:lvlJc w:val="left"/>
      <w:pPr>
        <w:ind w:left="4309" w:hanging="360"/>
      </w:pPr>
      <w:rPr>
        <w:rFonts w:ascii="Courier New" w:hAnsi="Courier New" w:cs="Courier New" w:hint="default"/>
      </w:rPr>
    </w:lvl>
    <w:lvl w:ilvl="5" w:tplc="101A0005" w:tentative="1">
      <w:start w:val="1"/>
      <w:numFmt w:val="bullet"/>
      <w:lvlText w:val=""/>
      <w:lvlJc w:val="left"/>
      <w:pPr>
        <w:ind w:left="5029" w:hanging="360"/>
      </w:pPr>
      <w:rPr>
        <w:rFonts w:ascii="Wingdings" w:hAnsi="Wingdings" w:hint="default"/>
      </w:rPr>
    </w:lvl>
    <w:lvl w:ilvl="6" w:tplc="101A0001" w:tentative="1">
      <w:start w:val="1"/>
      <w:numFmt w:val="bullet"/>
      <w:lvlText w:val=""/>
      <w:lvlJc w:val="left"/>
      <w:pPr>
        <w:ind w:left="5749" w:hanging="360"/>
      </w:pPr>
      <w:rPr>
        <w:rFonts w:ascii="Symbol" w:hAnsi="Symbol" w:hint="default"/>
      </w:rPr>
    </w:lvl>
    <w:lvl w:ilvl="7" w:tplc="101A0003" w:tentative="1">
      <w:start w:val="1"/>
      <w:numFmt w:val="bullet"/>
      <w:lvlText w:val="o"/>
      <w:lvlJc w:val="left"/>
      <w:pPr>
        <w:ind w:left="6469" w:hanging="360"/>
      </w:pPr>
      <w:rPr>
        <w:rFonts w:ascii="Courier New" w:hAnsi="Courier New" w:cs="Courier New" w:hint="default"/>
      </w:rPr>
    </w:lvl>
    <w:lvl w:ilvl="8" w:tplc="101A0005" w:tentative="1">
      <w:start w:val="1"/>
      <w:numFmt w:val="bullet"/>
      <w:lvlText w:val=""/>
      <w:lvlJc w:val="left"/>
      <w:pPr>
        <w:ind w:left="7189" w:hanging="360"/>
      </w:pPr>
      <w:rPr>
        <w:rFonts w:ascii="Wingdings" w:hAnsi="Wingdings" w:hint="default"/>
      </w:rPr>
    </w:lvl>
  </w:abstractNum>
  <w:num w:numId="1" w16cid:durableId="1694920783">
    <w:abstractNumId w:val="3"/>
  </w:num>
  <w:num w:numId="2" w16cid:durableId="1206596462">
    <w:abstractNumId w:val="2"/>
  </w:num>
  <w:num w:numId="3" w16cid:durableId="659382336">
    <w:abstractNumId w:val="1"/>
  </w:num>
  <w:num w:numId="4" w16cid:durableId="8476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zMUs0DV1SApMspdDvD8fFj3AqavLKiDvNAus3jT37L7rt7TvtyjDqbwqRtv33cu3uMeS7tk8v8EjjwMiD9E8Q==" w:salt="72o5jRYoUIsaRA1klGsqk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61"/>
    <w:rsid w:val="000C793B"/>
    <w:rsid w:val="000E3277"/>
    <w:rsid w:val="00154CE1"/>
    <w:rsid w:val="001950B7"/>
    <w:rsid w:val="001D3274"/>
    <w:rsid w:val="00270650"/>
    <w:rsid w:val="00324361"/>
    <w:rsid w:val="00330BE0"/>
    <w:rsid w:val="003833B6"/>
    <w:rsid w:val="00394076"/>
    <w:rsid w:val="0045329A"/>
    <w:rsid w:val="005410D2"/>
    <w:rsid w:val="00542935"/>
    <w:rsid w:val="00550281"/>
    <w:rsid w:val="0056303E"/>
    <w:rsid w:val="00681F52"/>
    <w:rsid w:val="007B3193"/>
    <w:rsid w:val="007B70D0"/>
    <w:rsid w:val="00873968"/>
    <w:rsid w:val="008E168E"/>
    <w:rsid w:val="00967812"/>
    <w:rsid w:val="009A054D"/>
    <w:rsid w:val="00B125FC"/>
    <w:rsid w:val="00BC4FEF"/>
    <w:rsid w:val="00C3756F"/>
    <w:rsid w:val="00EE4311"/>
    <w:rsid w:val="00F22B3E"/>
    <w:rsid w:val="00F51D58"/>
    <w:rsid w:val="00F7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88A5"/>
  <w15:chartTrackingRefBased/>
  <w15:docId w15:val="{61A70EB3-4A90-4746-94C5-407BC694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9A"/>
    <w:pPr>
      <w:spacing w:after="200" w:line="276" w:lineRule="auto"/>
    </w:pPr>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29A"/>
    <w:pPr>
      <w:tabs>
        <w:tab w:val="center" w:pos="4536"/>
        <w:tab w:val="right" w:pos="9072"/>
      </w:tabs>
    </w:pPr>
  </w:style>
  <w:style w:type="character" w:customStyle="1" w:styleId="HeaderChar">
    <w:name w:val="Header Char"/>
    <w:basedOn w:val="DefaultParagraphFont"/>
    <w:link w:val="Header"/>
    <w:uiPriority w:val="99"/>
    <w:rsid w:val="0045329A"/>
    <w:rPr>
      <w:rFonts w:ascii="Calibri" w:eastAsia="Calibri" w:hAnsi="Calibri" w:cs="Times New Roman"/>
      <w:lang w:val="hr-BA"/>
    </w:rPr>
  </w:style>
  <w:style w:type="paragraph" w:styleId="Footer">
    <w:name w:val="footer"/>
    <w:basedOn w:val="Normal"/>
    <w:link w:val="FooterChar"/>
    <w:uiPriority w:val="99"/>
    <w:unhideWhenUsed/>
    <w:rsid w:val="0045329A"/>
    <w:pPr>
      <w:tabs>
        <w:tab w:val="center" w:pos="4536"/>
        <w:tab w:val="right" w:pos="9072"/>
      </w:tabs>
    </w:pPr>
  </w:style>
  <w:style w:type="character" w:customStyle="1" w:styleId="FooterChar">
    <w:name w:val="Footer Char"/>
    <w:basedOn w:val="DefaultParagraphFont"/>
    <w:link w:val="Footer"/>
    <w:uiPriority w:val="99"/>
    <w:rsid w:val="0045329A"/>
    <w:rPr>
      <w:rFonts w:ascii="Calibri" w:eastAsia="Calibri" w:hAnsi="Calibri" w:cs="Times New Roman"/>
      <w:lang w:val="hr-BA"/>
    </w:rPr>
  </w:style>
  <w:style w:type="paragraph" w:styleId="ListParagraph">
    <w:name w:val="List Paragraph"/>
    <w:basedOn w:val="Normal"/>
    <w:uiPriority w:val="34"/>
    <w:qFormat/>
    <w:rsid w:val="00453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7131-30A2-4B18-8B49-27466863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1453</Words>
  <Characters>8287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Lejla Pribisic</cp:lastModifiedBy>
  <cp:revision>18</cp:revision>
  <dcterms:created xsi:type="dcterms:W3CDTF">2021-03-31T22:09:00Z</dcterms:created>
  <dcterms:modified xsi:type="dcterms:W3CDTF">2022-10-27T07:47:00Z</dcterms:modified>
</cp:coreProperties>
</file>